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7CB5" w14:textId="77777777" w:rsidR="00382CC8" w:rsidRPr="00382CC8" w:rsidRDefault="00382CC8" w:rsidP="00382CC8">
      <w:pPr>
        <w:shd w:val="clear" w:color="auto" w:fill="FFFFFF"/>
        <w:spacing w:after="180" w:line="360" w:lineRule="atLeast"/>
        <w:jc w:val="center"/>
        <w:rPr>
          <w:rFonts w:ascii="Baskerville Old Face" w:eastAsia="Times New Roman" w:hAnsi="Baskerville Old Face" w:cs="Lucida Sans Unicode"/>
          <w:b/>
          <w:bCs/>
          <w:sz w:val="28"/>
          <w:szCs w:val="28"/>
          <w:lang w:eastAsia="it-IT"/>
        </w:rPr>
      </w:pPr>
      <w:r w:rsidRPr="00382CC8">
        <w:rPr>
          <w:rFonts w:ascii="Baskerville Old Face" w:eastAsia="Times New Roman" w:hAnsi="Baskerville Old Face" w:cs="Lucida Sans Unicode"/>
          <w:b/>
          <w:bCs/>
          <w:sz w:val="28"/>
          <w:szCs w:val="28"/>
          <w:lang w:eastAsia="it-IT"/>
        </w:rPr>
        <w:t>LIFE 2021-2027 – Sottoprogramma Natura e biodiversità: bando 2022 per progetti d’azione standard (SAP)</w:t>
      </w:r>
    </w:p>
    <w:p w14:paraId="715111A7"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Titolo</w:t>
      </w:r>
    </w:p>
    <w:p w14:paraId="4E1F3512" w14:textId="77777777" w:rsidR="00382CC8" w:rsidRPr="00382CC8" w:rsidRDefault="00382CC8" w:rsidP="00382CC8">
      <w:pPr>
        <w:shd w:val="clear" w:color="auto" w:fill="FFFFFF"/>
        <w:spacing w:after="0" w:line="240" w:lineRule="auto"/>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sz w:val="28"/>
          <w:szCs w:val="28"/>
          <w:lang w:eastAsia="it-IT"/>
        </w:rPr>
        <w:t>Programme</w:t>
      </w:r>
      <w:proofErr w:type="spellEnd"/>
      <w:r w:rsidRPr="00382CC8">
        <w:rPr>
          <w:rFonts w:ascii="Baskerville Old Face" w:eastAsia="Times New Roman" w:hAnsi="Baskerville Old Face" w:cs="Lucida Sans Unicode"/>
          <w:sz w:val="28"/>
          <w:szCs w:val="28"/>
          <w:lang w:eastAsia="it-IT"/>
        </w:rPr>
        <w:t xml:space="preserve"> for the Environment and </w:t>
      </w:r>
      <w:proofErr w:type="spellStart"/>
      <w:r w:rsidRPr="00382CC8">
        <w:rPr>
          <w:rFonts w:ascii="Baskerville Old Face" w:eastAsia="Times New Roman" w:hAnsi="Baskerville Old Face" w:cs="Lucida Sans Unicode"/>
          <w:sz w:val="28"/>
          <w:szCs w:val="28"/>
          <w:lang w:eastAsia="it-IT"/>
        </w:rPr>
        <w:t>Climate</w:t>
      </w:r>
      <w:proofErr w:type="spellEnd"/>
      <w:r w:rsidRPr="00382CC8">
        <w:rPr>
          <w:rFonts w:ascii="Baskerville Old Face" w:eastAsia="Times New Roman" w:hAnsi="Baskerville Old Face" w:cs="Lucida Sans Unicode"/>
          <w:sz w:val="28"/>
          <w:szCs w:val="28"/>
          <w:lang w:eastAsia="it-IT"/>
        </w:rPr>
        <w:t xml:space="preserve"> Action (LIFE). Call for </w:t>
      </w:r>
      <w:proofErr w:type="spellStart"/>
      <w:r w:rsidRPr="00382CC8">
        <w:rPr>
          <w:rFonts w:ascii="Baskerville Old Face" w:eastAsia="Times New Roman" w:hAnsi="Baskerville Old Face" w:cs="Lucida Sans Unicode"/>
          <w:sz w:val="28"/>
          <w:szCs w:val="28"/>
          <w:lang w:eastAsia="it-IT"/>
        </w:rPr>
        <w:t>proposals</w:t>
      </w:r>
      <w:proofErr w:type="spellEnd"/>
      <w:r w:rsidRPr="00382CC8">
        <w:rPr>
          <w:rFonts w:ascii="Baskerville Old Face" w:eastAsia="Times New Roman" w:hAnsi="Baskerville Old Face" w:cs="Lucida Sans Unicode"/>
          <w:sz w:val="28"/>
          <w:szCs w:val="28"/>
          <w:lang w:eastAsia="it-IT"/>
        </w:rPr>
        <w:t xml:space="preserve">. Nature &amp; </w:t>
      </w:r>
      <w:proofErr w:type="spellStart"/>
      <w:r w:rsidRPr="00382CC8">
        <w:rPr>
          <w:rFonts w:ascii="Baskerville Old Face" w:eastAsia="Times New Roman" w:hAnsi="Baskerville Old Face" w:cs="Lucida Sans Unicode"/>
          <w:sz w:val="28"/>
          <w:szCs w:val="28"/>
          <w:lang w:eastAsia="it-IT"/>
        </w:rPr>
        <w:t>Biodiversity</w:t>
      </w:r>
      <w:proofErr w:type="spellEnd"/>
      <w:r w:rsidRPr="00382CC8">
        <w:rPr>
          <w:rFonts w:ascii="Baskerville Old Face" w:eastAsia="Times New Roman" w:hAnsi="Baskerville Old Face" w:cs="Lucida Sans Unicode"/>
          <w:sz w:val="28"/>
          <w:szCs w:val="28"/>
          <w:lang w:eastAsia="it-IT"/>
        </w:rPr>
        <w:t xml:space="preserve"> - Standard Action Projects (SAP)</w:t>
      </w:r>
    </w:p>
    <w:p w14:paraId="1E43C1B1"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Oggetto</w:t>
      </w:r>
    </w:p>
    <w:p w14:paraId="286A6816"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Bando 2022 per progetti standard nel quadro del Sottoprogramma Natura e biodiversità di LIFE. </w:t>
      </w:r>
    </w:p>
    <w:p w14:paraId="1527E418"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 progetti d'azione standard corrispondono ai </w:t>
      </w:r>
      <w:r w:rsidRPr="00382CC8">
        <w:rPr>
          <w:rFonts w:ascii="Baskerville Old Face" w:eastAsia="Times New Roman" w:hAnsi="Baskerville Old Face" w:cs="Lucida Sans Unicode"/>
          <w:b/>
          <w:bCs/>
          <w:sz w:val="28"/>
          <w:szCs w:val="28"/>
          <w:lang w:eastAsia="it-IT"/>
        </w:rPr>
        <w:t>progetti </w:t>
      </w:r>
      <w:r w:rsidRPr="00382CC8">
        <w:rPr>
          <w:rFonts w:ascii="Baskerville Old Face" w:eastAsia="Times New Roman" w:hAnsi="Baskerville Old Face" w:cs="Lucida Sans Unicode"/>
          <w:sz w:val="28"/>
          <w:szCs w:val="28"/>
          <w:lang w:eastAsia="it-IT"/>
        </w:rPr>
        <w:t>“</w:t>
      </w:r>
      <w:r w:rsidRPr="00382CC8">
        <w:rPr>
          <w:rFonts w:ascii="Baskerville Old Face" w:eastAsia="Times New Roman" w:hAnsi="Baskerville Old Face" w:cs="Lucida Sans Unicode"/>
          <w:b/>
          <w:bCs/>
          <w:sz w:val="28"/>
          <w:szCs w:val="28"/>
          <w:lang w:eastAsia="it-IT"/>
        </w:rPr>
        <w:t>tradizionali</w:t>
      </w:r>
      <w:r w:rsidRPr="00382CC8">
        <w:rPr>
          <w:rFonts w:ascii="Baskerville Old Face" w:eastAsia="Times New Roman" w:hAnsi="Baskerville Old Face" w:cs="Lucida Sans Unicode"/>
          <w:sz w:val="28"/>
          <w:szCs w:val="28"/>
          <w:lang w:eastAsia="it-IT"/>
        </w:rPr>
        <w:t>” della precedente programmazione di Life e hanno l'intento di:</w:t>
      </w:r>
      <w:r w:rsidRPr="00382CC8">
        <w:rPr>
          <w:rFonts w:ascii="Baskerville Old Face" w:eastAsia="Times New Roman" w:hAnsi="Baskerville Old Face" w:cs="Lucida Sans Unicode"/>
          <w:sz w:val="28"/>
          <w:szCs w:val="28"/>
          <w:lang w:eastAsia="it-IT"/>
        </w:rPr>
        <w:br/>
        <w:t>- sviluppare, dimostrare e promuovere </w:t>
      </w:r>
      <w:r w:rsidRPr="00382CC8">
        <w:rPr>
          <w:rFonts w:ascii="Baskerville Old Face" w:eastAsia="Times New Roman" w:hAnsi="Baskerville Old Face" w:cs="Lucida Sans Unicode"/>
          <w:b/>
          <w:bCs/>
          <w:sz w:val="28"/>
          <w:szCs w:val="28"/>
          <w:lang w:eastAsia="it-IT"/>
        </w:rPr>
        <w:t>tecniche, metodi e approcci innovativi</w:t>
      </w:r>
      <w:r w:rsidRPr="00382CC8">
        <w:rPr>
          <w:rFonts w:ascii="Baskerville Old Face" w:eastAsia="Times New Roman" w:hAnsi="Baskerville Old Face" w:cs="Lucida Sans Unicode"/>
          <w:sz w:val="28"/>
          <w:szCs w:val="28"/>
          <w:lang w:eastAsia="it-IT"/>
        </w:rPr>
        <w:t> (ovvero soluzioni nuove rispetto allo stato dell'arte a livello di Stato membro/di settore e che sono attuate su scala operativa e in condizioni da consentire un impatto significativo (si veda il criterio di valutazione "impatto");</w:t>
      </w:r>
      <w:r w:rsidRPr="00382CC8">
        <w:rPr>
          <w:rFonts w:ascii="Baskerville Old Face" w:eastAsia="Times New Roman" w:hAnsi="Baskerville Old Face" w:cs="Lucida Sans Unicode"/>
          <w:sz w:val="28"/>
          <w:szCs w:val="28"/>
          <w:lang w:eastAsia="it-IT"/>
        </w:rPr>
        <w:br/>
        <w:t>- contribuire alla base di conoscenza e all'applicazione delle </w:t>
      </w:r>
      <w:r w:rsidRPr="00382CC8">
        <w:rPr>
          <w:rFonts w:ascii="Baskerville Old Face" w:eastAsia="Times New Roman" w:hAnsi="Baskerville Old Face" w:cs="Lucida Sans Unicode"/>
          <w:b/>
          <w:bCs/>
          <w:sz w:val="28"/>
          <w:szCs w:val="28"/>
          <w:lang w:eastAsia="it-IT"/>
        </w:rPr>
        <w:t>migliori pratiche</w:t>
      </w:r>
      <w:r w:rsidRPr="00382CC8">
        <w:rPr>
          <w:rFonts w:ascii="Baskerville Old Face" w:eastAsia="Times New Roman" w:hAnsi="Baskerville Old Face" w:cs="Lucida Sans Unicode"/>
          <w:sz w:val="28"/>
          <w:szCs w:val="28"/>
          <w:lang w:eastAsia="it-IT"/>
        </w:rPr>
        <w:t>, definizione che comprende soluzioni, tecniche, metodi e approcci appropriati, efficienti e all'avanguardia (a livello di Stato membro/di settore), attuate su scala operativa e in condizioni da consentire un impatto significativo (si veda il criterio di valutazione "impatto");</w:t>
      </w:r>
      <w:r w:rsidRPr="00382CC8">
        <w:rPr>
          <w:rFonts w:ascii="Baskerville Old Face" w:eastAsia="Times New Roman" w:hAnsi="Baskerville Old Face" w:cs="Lucida Sans Unicode"/>
          <w:sz w:val="28"/>
          <w:szCs w:val="28"/>
          <w:lang w:eastAsia="it-IT"/>
        </w:rPr>
        <w:br/>
        <w:t>- sostenere lo sviluppo, l'attuazione, il monitoraggio e l'applicazione </w:t>
      </w:r>
      <w:r w:rsidRPr="00382CC8">
        <w:rPr>
          <w:rFonts w:ascii="Baskerville Old Face" w:eastAsia="Times New Roman" w:hAnsi="Baskerville Old Face" w:cs="Lucida Sans Unicode"/>
          <w:b/>
          <w:bCs/>
          <w:sz w:val="28"/>
          <w:szCs w:val="28"/>
          <w:lang w:eastAsia="it-IT"/>
        </w:rPr>
        <w:t>della legislazione e della politica dell'UE</w:t>
      </w:r>
      <w:r w:rsidRPr="00382CC8">
        <w:rPr>
          <w:rFonts w:ascii="Baskerville Old Face" w:eastAsia="Times New Roman" w:hAnsi="Baskerville Old Face" w:cs="Lucida Sans Unicode"/>
          <w:sz w:val="28"/>
          <w:szCs w:val="28"/>
          <w:lang w:eastAsia="it-IT"/>
        </w:rPr>
        <w:t>, anche migliorando la governance a tutti i livelli, in particolare rafforzando le capacità degli attori pubblici e privati e il coinvolgimento della società civile;</w:t>
      </w:r>
      <w:r w:rsidRPr="00382CC8">
        <w:rPr>
          <w:rFonts w:ascii="Baskerville Old Face" w:eastAsia="Times New Roman" w:hAnsi="Baskerville Old Face" w:cs="Lucida Sans Unicode"/>
          <w:sz w:val="28"/>
          <w:szCs w:val="28"/>
          <w:lang w:eastAsia="it-IT"/>
        </w:rPr>
        <w:br/>
        <w:t>- </w:t>
      </w:r>
      <w:r w:rsidRPr="00382CC8">
        <w:rPr>
          <w:rFonts w:ascii="Baskerville Old Face" w:eastAsia="Times New Roman" w:hAnsi="Baskerville Old Face" w:cs="Lucida Sans Unicode"/>
          <w:b/>
          <w:bCs/>
          <w:sz w:val="28"/>
          <w:szCs w:val="28"/>
          <w:lang w:eastAsia="it-IT"/>
        </w:rPr>
        <w:t>catalizzare la diffusione su larga scala di soluzioni tecniche e politiche di successo</w:t>
      </w:r>
      <w:r w:rsidRPr="00382CC8">
        <w:rPr>
          <w:rFonts w:ascii="Baskerville Old Face" w:eastAsia="Times New Roman" w:hAnsi="Baskerville Old Face" w:cs="Lucida Sans Unicode"/>
          <w:sz w:val="28"/>
          <w:szCs w:val="28"/>
          <w:lang w:eastAsia="it-IT"/>
        </w:rPr>
        <w:t> per l'attuazione della legislazione e della politica dell'UE, replicando i risultati, integrando gli obiettivi correlati in altre politiche e nelle pratiche del settore pubblico e privato, mobilitando investimenti e migliorando l'accesso ai finanziamenti</w:t>
      </w:r>
    </w:p>
    <w:p w14:paraId="366626DD"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 progetti possono essere vicini al mercato, ossia mirare non solo a fornire soluzioni ambientali migliori, ma anche a garantire che tali soluzioni siano ampiamente adottate dalla società in generale e, più in particolare, dall'economia attraverso un esplicito approccio orientato al mercato (per progetti di questo tipo i proponenti dovranno evidenziare questo aspetto nella proposta progettuale).</w:t>
      </w:r>
    </w:p>
    <w:p w14:paraId="07EDC454"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Fonte</w:t>
      </w:r>
    </w:p>
    <w:p w14:paraId="47918E67" w14:textId="77777777" w:rsidR="00382CC8" w:rsidRPr="00382CC8" w:rsidRDefault="00382CC8" w:rsidP="00382CC8">
      <w:pPr>
        <w:shd w:val="clear" w:color="auto" w:fill="FFFFFF"/>
        <w:spacing w:after="0" w:line="240" w:lineRule="auto"/>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Commissione europea - Funding &amp; Tender Portal LIFE-2022-SAP-NAT del 17/5/2022</w:t>
      </w:r>
    </w:p>
    <w:p w14:paraId="3610CEA0"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Ente Erogatore</w:t>
      </w:r>
    </w:p>
    <w:p w14:paraId="3DD3955C"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lastRenderedPageBreak/>
        <w:t>Commissione europea</w:t>
      </w:r>
    </w:p>
    <w:p w14:paraId="7915BDF7"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Obiettivo</w:t>
      </w:r>
    </w:p>
    <w:p w14:paraId="52259AE0"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Il sottoprogramma Natura e biodiversità ha i seguenti </w:t>
      </w:r>
      <w:r w:rsidRPr="00382CC8">
        <w:rPr>
          <w:rFonts w:ascii="Baskerville Old Face" w:eastAsia="Times New Roman" w:hAnsi="Baskerville Old Face" w:cs="Lucida Sans Unicode"/>
          <w:b/>
          <w:bCs/>
          <w:sz w:val="28"/>
          <w:szCs w:val="28"/>
          <w:lang w:eastAsia="it-IT"/>
        </w:rPr>
        <w:t>obiettivi specifici</w:t>
      </w:r>
      <w:r w:rsidRPr="00382CC8">
        <w:rPr>
          <w:rFonts w:ascii="Baskerville Old Face" w:eastAsia="Times New Roman" w:hAnsi="Baskerville Old Face" w:cs="Lucida Sans Unicode"/>
          <w:sz w:val="28"/>
          <w:szCs w:val="28"/>
          <w:lang w:eastAsia="it-IT"/>
        </w:rPr>
        <w:t>:</w:t>
      </w:r>
      <w:r w:rsidRPr="00382CC8">
        <w:rPr>
          <w:rFonts w:ascii="Baskerville Old Face" w:eastAsia="Times New Roman" w:hAnsi="Baskerville Old Face" w:cs="Lucida Sans Unicode"/>
          <w:sz w:val="28"/>
          <w:szCs w:val="28"/>
          <w:lang w:eastAsia="it-IT"/>
        </w:rPr>
        <w:br/>
        <w:t>- sviluppare, dimostrare, promuovere e stimolare lo sviluppo di tecniche, metodi e approcci innovativi (comprese le soluzioni basate sulla natura e l'approccio ecosistemico) per raggiungere gli obiettivi della legislazione e della politica dell'UE in materia di natura e biodiversità e contribuire alla base di conoscenze e all'applicazione delle migliori pratiche, anche attraverso il sostegno di Natura 2000</w:t>
      </w:r>
      <w:r w:rsidRPr="00382CC8">
        <w:rPr>
          <w:rFonts w:ascii="Baskerville Old Face" w:eastAsia="Times New Roman" w:hAnsi="Baskerville Old Face" w:cs="Lucida Sans Unicode"/>
          <w:sz w:val="28"/>
          <w:szCs w:val="28"/>
          <w:lang w:eastAsia="it-IT"/>
        </w:rPr>
        <w:br/>
        <w:t>- sostenere lo sviluppo, l'attuazione, il monitoraggio e l'applicazione della legislazione e della politica dell'UE in materia di natura e biodiversità, anche migliorando la governance a tutti i livelli, in particolare rafforzando le capacità degli attori pubblici e privati e coinvolgendo la società civile,</w:t>
      </w:r>
      <w:r w:rsidRPr="00382CC8">
        <w:rPr>
          <w:rFonts w:ascii="Baskerville Old Face" w:eastAsia="Times New Roman" w:hAnsi="Baskerville Old Face" w:cs="Lucida Sans Unicode"/>
          <w:sz w:val="28"/>
          <w:szCs w:val="28"/>
          <w:lang w:eastAsia="it-IT"/>
        </w:rPr>
        <w:br/>
        <w:t>- catalizzare la diffusione su larga scala di soluzioni/approcci di successo per l'attuazione della legislazione e della politica dell'UE in materia di natura e biodiversità, replicando i risultati, integrando obiettivi correlati in altre politiche e nelle pratiche del settore pubblico e privato, mobilitando investimenti e migliorando l'accesso ai finanziamenti.</w:t>
      </w:r>
    </w:p>
    <w:p w14:paraId="07B35DD1"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Azioni</w:t>
      </w:r>
    </w:p>
    <w:p w14:paraId="0722D79F"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Il bando comprende </w:t>
      </w:r>
      <w:r w:rsidRPr="00382CC8">
        <w:rPr>
          <w:rFonts w:ascii="Baskerville Old Face" w:eastAsia="Times New Roman" w:hAnsi="Baskerville Old Face" w:cs="Lucida Sans Unicode"/>
          <w:b/>
          <w:bCs/>
          <w:sz w:val="28"/>
          <w:szCs w:val="28"/>
          <w:lang w:eastAsia="it-IT"/>
        </w:rPr>
        <w:t xml:space="preserve">2 </w:t>
      </w:r>
      <w:proofErr w:type="spellStart"/>
      <w:r w:rsidRPr="00382CC8">
        <w:rPr>
          <w:rFonts w:ascii="Baskerville Old Face" w:eastAsia="Times New Roman" w:hAnsi="Baskerville Old Face" w:cs="Lucida Sans Unicode"/>
          <w:b/>
          <w:bCs/>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(una proposta progettuale deve riguardare un solo </w:t>
      </w:r>
      <w:proofErr w:type="spellStart"/>
      <w:proofErr w:type="gram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w:t>
      </w:r>
      <w:proofErr w:type="gramEnd"/>
      <w:r w:rsidRPr="00382CC8">
        <w:rPr>
          <w:rFonts w:ascii="Baskerville Old Face" w:eastAsia="Times New Roman" w:hAnsi="Baskerville Old Face" w:cs="Lucida Sans Unicode"/>
          <w:sz w:val="28"/>
          <w:szCs w:val="28"/>
          <w:lang w:eastAsia="it-IT"/>
        </w:rPr>
        <w:t>.</w:t>
      </w:r>
    </w:p>
    <w:p w14:paraId="5EB6A72E"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b/>
          <w:bCs/>
          <w:sz w:val="28"/>
          <w:szCs w:val="28"/>
          <w:lang w:eastAsia="it-IT"/>
        </w:rPr>
        <w:t>Topic</w:t>
      </w:r>
      <w:proofErr w:type="spellEnd"/>
      <w:r w:rsidRPr="00382CC8">
        <w:rPr>
          <w:rFonts w:ascii="Baskerville Old Face" w:eastAsia="Times New Roman" w:hAnsi="Baskerville Old Face" w:cs="Lucida Sans Unicode"/>
          <w:b/>
          <w:bCs/>
          <w:sz w:val="28"/>
          <w:szCs w:val="28"/>
          <w:lang w:eastAsia="it-IT"/>
        </w:rPr>
        <w:t xml:space="preserve"> 1 - Nature and </w:t>
      </w:r>
      <w:proofErr w:type="spellStart"/>
      <w:r w:rsidRPr="00382CC8">
        <w:rPr>
          <w:rFonts w:ascii="Baskerville Old Face" w:eastAsia="Times New Roman" w:hAnsi="Baskerville Old Face" w:cs="Lucida Sans Unicode"/>
          <w:b/>
          <w:bCs/>
          <w:sz w:val="28"/>
          <w:szCs w:val="28"/>
          <w:lang w:eastAsia="it-IT"/>
        </w:rPr>
        <w:t>Biodiversity</w:t>
      </w:r>
      <w:proofErr w:type="spellEnd"/>
      <w:r w:rsidRPr="00382CC8">
        <w:rPr>
          <w:rFonts w:ascii="Baskerville Old Face" w:eastAsia="Times New Roman" w:hAnsi="Baskerville Old Face" w:cs="Lucida Sans Unicode"/>
          <w:b/>
          <w:bCs/>
          <w:sz w:val="28"/>
          <w:szCs w:val="28"/>
          <w:lang w:eastAsia="it-IT"/>
        </w:rPr>
        <w:t xml:space="preserve"> (ID: LIFE-2022-SAP-NAT-NATURE)</w:t>
      </w:r>
    </w:p>
    <w:p w14:paraId="2038874C"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i/>
          <w:iCs/>
          <w:sz w:val="28"/>
          <w:szCs w:val="28"/>
          <w:lang w:eastAsia="it-IT"/>
        </w:rPr>
        <w:t>Aree di intervento:</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b/>
          <w:bCs/>
          <w:sz w:val="28"/>
          <w:szCs w:val="28"/>
          <w:lang w:eastAsia="it-IT"/>
        </w:rPr>
        <w:t>- Spazio per la natura</w:t>
      </w:r>
      <w:r w:rsidRPr="00382CC8">
        <w:rPr>
          <w:rFonts w:ascii="Baskerville Old Face" w:eastAsia="Times New Roman" w:hAnsi="Baskerville Old Face" w:cs="Lucida Sans Unicode"/>
          <w:sz w:val="28"/>
          <w:szCs w:val="28"/>
          <w:lang w:eastAsia="it-IT"/>
        </w:rPr>
        <w:br/>
        <w:t>Progetti volti a migliorare la condizione di specie o habitat attraverso misure di conservazione o ripristino territoriale (es. progetti per il ripristino miglioramento di habitat naturali o seminaturali, o habitat di specie e progetti per la creazione di aree protette aggiuntive, corridoi ecologici o altre infrastrutture verdi, progetti che testano o dimostrano nuovi approcci di gestione del sito, progetti che agiscono in base alle pressioni, ecc.</w:t>
      </w:r>
    </w:p>
    <w:p w14:paraId="33AB448E"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sz w:val="28"/>
          <w:szCs w:val="28"/>
          <w:lang w:eastAsia="it-IT"/>
        </w:rPr>
        <w:t>- Salvaguardia delle nostre specie</w:t>
      </w:r>
      <w:r w:rsidRPr="00382CC8">
        <w:rPr>
          <w:rFonts w:ascii="Baskerville Old Face" w:eastAsia="Times New Roman" w:hAnsi="Baskerville Old Face" w:cs="Lucida Sans Unicode"/>
          <w:sz w:val="28"/>
          <w:szCs w:val="28"/>
          <w:lang w:eastAsia="it-IT"/>
        </w:rPr>
        <w:br/>
        <w:t>Progetti volto a migliorare la condizione delle specie (o, nel caso di specie esotiche invasive, a ridurne l'impatto) attraverso qualsiasi attività pertinente diversa dalle misure di conservazione o ripristino territoriale; questi progetti possono applicarsi a un'ampia gamma di misure, che vanno dalle opere infrastrutturali alla sensibilizzazione delle parti interessate.</w:t>
      </w:r>
    </w:p>
    <w:p w14:paraId="4C71BC2C"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Priorità di primo livello:</w:t>
      </w:r>
    </w:p>
    <w:p w14:paraId="424CD3DA"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 Per le proposte riguardanti le specie e gli habitat coperti dalla direttiva Habitat dell'UE: progetti chiaramente mirati ad habitat o specie in uno stato di conservazione </w:t>
      </w:r>
      <w:r w:rsidRPr="00382CC8">
        <w:rPr>
          <w:rFonts w:ascii="Baskerville Old Face" w:eastAsia="Times New Roman" w:hAnsi="Baskerville Old Face" w:cs="Lucida Sans Unicode"/>
          <w:sz w:val="28"/>
          <w:szCs w:val="28"/>
          <w:lang w:eastAsia="it-IT"/>
        </w:rPr>
        <w:lastRenderedPageBreak/>
        <w:t>sfavorevole e in declino sia a livello dell'UE che delle regioni biogeografiche nazionali, in cui si svolge il progetto</w:t>
      </w:r>
    </w:p>
    <w:p w14:paraId="1868334E"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Per gli Stati membri dell'UE a 27, per le specie di uccelli, le specie e gli habitat non coperti dalla legislazione dell'UE sulla natura: progetti rivolti a uccelli/habitat che rientrano nelle categorie a rischio di estinzione più elevato; Per le regioni ultraperiferiche dell'UE e i paesi e territori d'oltremare: priorità per quelle che si trovano nelle categorie a più alto rischio di estinzione.</w:t>
      </w:r>
    </w:p>
    <w:p w14:paraId="7084FA65"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Priorità di secondo livello:</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b/>
          <w:bCs/>
          <w:i/>
          <w:iCs/>
          <w:sz w:val="28"/>
          <w:szCs w:val="28"/>
          <w:lang w:eastAsia="it-IT"/>
        </w:rPr>
        <w:t>1. Direttive uccelli e habitat dell’UE</w:t>
      </w:r>
      <w:r w:rsidRPr="00382CC8">
        <w:rPr>
          <w:rFonts w:ascii="Baskerville Old Face" w:eastAsia="Times New Roman" w:hAnsi="Baskerville Old Face" w:cs="Lucida Sans Unicode"/>
          <w:sz w:val="28"/>
          <w:szCs w:val="28"/>
          <w:lang w:eastAsia="it-IT"/>
        </w:rPr>
        <w:br/>
        <w:t xml:space="preserve">Progetti tesi a migliorare lo stato di conservazione o le tendenze di specie e habitat di importanza </w:t>
      </w:r>
      <w:proofErr w:type="spellStart"/>
      <w:r w:rsidRPr="00382CC8">
        <w:rPr>
          <w:rFonts w:ascii="Baskerville Old Face" w:eastAsia="Times New Roman" w:hAnsi="Baskerville Old Face" w:cs="Lucida Sans Unicode"/>
          <w:sz w:val="28"/>
          <w:szCs w:val="28"/>
          <w:lang w:eastAsia="it-IT"/>
        </w:rPr>
        <w:t>unionale</w:t>
      </w:r>
      <w:proofErr w:type="spellEnd"/>
      <w:r w:rsidRPr="00382CC8">
        <w:rPr>
          <w:rFonts w:ascii="Baskerville Old Face" w:eastAsia="Times New Roman" w:hAnsi="Baskerville Old Face" w:cs="Lucida Sans Unicode"/>
          <w:sz w:val="28"/>
          <w:szCs w:val="28"/>
          <w:lang w:eastAsia="it-IT"/>
        </w:rPr>
        <w:t>, in particolare quelli che attuano obiettivi e misure delineate nei quadri di azioni prioritarie (PAF) nazionali o regionali, e in particolare:</w:t>
      </w:r>
      <w:r w:rsidRPr="00382CC8">
        <w:rPr>
          <w:rFonts w:ascii="Baskerville Old Face" w:eastAsia="Times New Roman" w:hAnsi="Baskerville Old Face" w:cs="Lucida Sans Unicode"/>
          <w:sz w:val="28"/>
          <w:szCs w:val="28"/>
          <w:lang w:eastAsia="it-IT"/>
        </w:rPr>
        <w:br/>
        <w:t>- Area di intervento "Spazio per la natura": progetti che si concentrano sull'attuazione di obiettivi di conservazione per i siti Natura 2000 esistenti.</w:t>
      </w:r>
      <w:r w:rsidRPr="00382CC8">
        <w:rPr>
          <w:rFonts w:ascii="Baskerville Old Face" w:eastAsia="Times New Roman" w:hAnsi="Baskerville Old Face" w:cs="Lucida Sans Unicode"/>
          <w:sz w:val="28"/>
          <w:szCs w:val="28"/>
          <w:lang w:eastAsia="it-IT"/>
        </w:rPr>
        <w:br/>
        <w:t>- Area di intervento “Salvaguardia della nostra specie”: progetti centrati sulla riduzione della mortalità di queste specie (laddove tale mortalità sia indotta da attività umane, es. avvelenamento, uccisione illegale, catture accessorie), sulla prevenzione dei conflitti tra le parti interessate o sul miglioramento della convivenza con le specie protette.</w:t>
      </w:r>
    </w:p>
    <w:p w14:paraId="3886E456"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i/>
          <w:iCs/>
          <w:sz w:val="28"/>
          <w:szCs w:val="28"/>
          <w:lang w:eastAsia="it-IT"/>
        </w:rPr>
        <w:t>2. Regolamento sulle specie aliene invasive</w:t>
      </w:r>
      <w:r w:rsidRPr="00382CC8">
        <w:rPr>
          <w:rFonts w:ascii="Baskerville Old Face" w:eastAsia="Times New Roman" w:hAnsi="Baskerville Old Face" w:cs="Lucida Sans Unicode"/>
          <w:sz w:val="28"/>
          <w:szCs w:val="28"/>
          <w:lang w:eastAsia="it-IT"/>
        </w:rPr>
        <w:br/>
        <w:t>- specie esotiche invasive incluse nell'elenco delle specie esotiche invasive come da art. 4 del Regolamento (UE) n. 1143/2014, e/o specie esotiche invasive di interesse nazionale/regionale a norma degli articoli 12 e 11 dello stesso Regolamento;</w:t>
      </w:r>
      <w:r w:rsidRPr="00382CC8">
        <w:rPr>
          <w:rFonts w:ascii="Baskerville Old Face" w:eastAsia="Times New Roman" w:hAnsi="Baskerville Old Face" w:cs="Lucida Sans Unicode"/>
          <w:sz w:val="28"/>
          <w:szCs w:val="28"/>
          <w:lang w:eastAsia="it-IT"/>
        </w:rPr>
        <w:br/>
        <w:t>- altre specie esotiche invasive che incidono negativamente sullo stato di conservazione o sulle tendenze di specie e habitat di importanza UE, altre specie protette dalla legislazione UE o elencate come specie minacciate nelle liste rosse UE o globali.</w:t>
      </w:r>
    </w:p>
    <w:p w14:paraId="29F28399"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i/>
          <w:iCs/>
          <w:sz w:val="28"/>
          <w:szCs w:val="28"/>
          <w:lang w:eastAsia="it-IT"/>
        </w:rPr>
        <w:t>3. Strategia UE per la biodiversità 2030</w:t>
      </w:r>
      <w:r w:rsidRPr="00382CC8">
        <w:rPr>
          <w:rFonts w:ascii="Baskerville Old Face" w:eastAsia="Times New Roman" w:hAnsi="Baskerville Old Face" w:cs="Lucida Sans Unicode"/>
          <w:sz w:val="28"/>
          <w:szCs w:val="28"/>
          <w:lang w:eastAsia="it-IT"/>
        </w:rPr>
        <w:br/>
        <w:t>- progetti che stabiliscono una rete coerente di aree protette con priorità per quelli incentrati sull'aumento della percentuale di aree terrestri o marine protette o sull'aumento della quota di aree terrestri o marine soggette a rigorosa protezione;</w:t>
      </w:r>
      <w:r w:rsidRPr="00382CC8">
        <w:rPr>
          <w:rFonts w:ascii="Baskerville Old Face" w:eastAsia="Times New Roman" w:hAnsi="Baskerville Old Face" w:cs="Lucida Sans Unicode"/>
          <w:sz w:val="28"/>
          <w:szCs w:val="28"/>
          <w:lang w:eastAsia="it-IT"/>
        </w:rPr>
        <w:br/>
        <w:t>- progetti riguardanti l’attuazione degli obiettivi di ripristino della natura per specie e habitat</w:t>
      </w:r>
      <w:r w:rsidRPr="00382CC8">
        <w:rPr>
          <w:rFonts w:ascii="Baskerville Old Face" w:eastAsia="Times New Roman" w:hAnsi="Baskerville Old Face" w:cs="Lucida Sans Unicode"/>
          <w:sz w:val="28"/>
          <w:szCs w:val="28"/>
          <w:lang w:eastAsia="it-IT"/>
        </w:rPr>
        <w:br/>
        <w:t xml:space="preserve">- progetti riguardanti il ripristino di ecosistemi degradati e ricchi di carbonio o la prevenzione dei disastri naturali (o la riduzione del loro impatto): per le foreste in particolare sono compresi progetti volti al ripristino delle stesse alla struttura, composizione e al funzionamento delle foreste primarie; progetti incentrati sulla diffusione di infrastrutture verdi e blu o altre soluzioni basate sulla natura e azioni di ripristino che aiuterebbero a prevenire o ridurre l'impatto dei disastri naturali, </w:t>
      </w:r>
      <w:r w:rsidRPr="00382CC8">
        <w:rPr>
          <w:rFonts w:ascii="Baskerville Old Face" w:eastAsia="Times New Roman" w:hAnsi="Baskerville Old Face" w:cs="Lucida Sans Unicode"/>
          <w:sz w:val="28"/>
          <w:szCs w:val="28"/>
          <w:lang w:eastAsia="it-IT"/>
        </w:rPr>
        <w:lastRenderedPageBreak/>
        <w:t>compresi i progetti di ripristino dei fiumi</w:t>
      </w:r>
      <w:r w:rsidRPr="00382CC8">
        <w:rPr>
          <w:rFonts w:ascii="Baskerville Old Face" w:eastAsia="Times New Roman" w:hAnsi="Baskerville Old Face" w:cs="Lucida Sans Unicode"/>
          <w:sz w:val="28"/>
          <w:szCs w:val="28"/>
          <w:lang w:eastAsia="it-IT"/>
        </w:rPr>
        <w:br/>
        <w:t>- progetti tesi a migliorare la salute e la resilienza delle foreste gestite</w:t>
      </w:r>
      <w:r w:rsidRPr="00382CC8">
        <w:rPr>
          <w:rFonts w:ascii="Baskerville Old Face" w:eastAsia="Times New Roman" w:hAnsi="Baskerville Old Face" w:cs="Lucida Sans Unicode"/>
          <w:sz w:val="28"/>
          <w:szCs w:val="28"/>
          <w:lang w:eastAsia="it-IT"/>
        </w:rPr>
        <w:br/>
        <w:t>- progetti tesi a invertire il declino degli impollinatori</w:t>
      </w:r>
      <w:r w:rsidRPr="00382CC8">
        <w:rPr>
          <w:rFonts w:ascii="Baskerville Old Face" w:eastAsia="Times New Roman" w:hAnsi="Baskerville Old Face" w:cs="Lucida Sans Unicode"/>
          <w:sz w:val="28"/>
          <w:szCs w:val="28"/>
          <w:lang w:eastAsia="it-IT"/>
        </w:rPr>
        <w:br/>
        <w:t>- progetti per riportare la natura nei terreni agricoli, e in particolare progetti che dimostrano approcci innovativi per ripristinare le caratteristiche paesaggistiche ad alta biodiversità negli agroecosistemi, che portano anche benefici per gli agricoltori e le comunità (es. che prevengono l'erosione e l'esaurimento del suolo, filtrano l'aria e l'acqua ecc.)</w:t>
      </w:r>
      <w:r w:rsidRPr="00382CC8">
        <w:rPr>
          <w:rFonts w:ascii="Baskerville Old Face" w:eastAsia="Times New Roman" w:hAnsi="Baskerville Old Face" w:cs="Lucida Sans Unicode"/>
          <w:sz w:val="28"/>
          <w:szCs w:val="28"/>
          <w:lang w:eastAsia="it-IT"/>
        </w:rPr>
        <w:br/>
        <w:t>- progetti di inverdimento delle aree urbane e periurbane: ripristino di ecosistemi sani e ricchi di biodiversità nelle aree urbane e periurbane, o per lo sviluppo di infrastrutture verdi e soluzioni basate sulla natura che apportino vantaggi significativi per la biodiversità, fornendo soluzioni alle sfide urbane e aumentando l'accesso alla natura,</w:t>
      </w:r>
      <w:r w:rsidRPr="00382CC8">
        <w:rPr>
          <w:rFonts w:ascii="Baskerville Old Face" w:eastAsia="Times New Roman" w:hAnsi="Baskerville Old Face" w:cs="Lucida Sans Unicode"/>
          <w:sz w:val="28"/>
          <w:szCs w:val="28"/>
          <w:lang w:eastAsia="it-IT"/>
        </w:rPr>
        <w:br/>
        <w:t>- progetti tesi a misurare e integrare il valore della natura, ovvero che portano a un'efficace contabilità, misurazione e integrazione del valore della biodiversità nel processo decisionale pubblico e privato applicando gli orientamenti, i metodi, i criteri e gli standard sviluppati dalla Commissione.</w:t>
      </w:r>
    </w:p>
    <w:p w14:paraId="57AF3B94"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Le proposte progettuali devono rispettare requisiti di sostenibilità specifici per diverse categorie di interventi, riguardanti per esempio l’acquisto/affitto di terreni, le infrastrutture e le infrastrutture verdi, le specie introdotte/reintrodotte, etc.</w:t>
      </w:r>
    </w:p>
    <w:p w14:paraId="788D830A"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w:t>
      </w:r>
    </w:p>
    <w:p w14:paraId="67E91483"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b/>
          <w:bCs/>
          <w:sz w:val="28"/>
          <w:szCs w:val="28"/>
          <w:lang w:eastAsia="it-IT"/>
        </w:rPr>
        <w:t>Topic</w:t>
      </w:r>
      <w:proofErr w:type="spellEnd"/>
      <w:r w:rsidRPr="00382CC8">
        <w:rPr>
          <w:rFonts w:ascii="Baskerville Old Face" w:eastAsia="Times New Roman" w:hAnsi="Baskerville Old Face" w:cs="Lucida Sans Unicode"/>
          <w:b/>
          <w:bCs/>
          <w:sz w:val="28"/>
          <w:szCs w:val="28"/>
          <w:lang w:eastAsia="it-IT"/>
        </w:rPr>
        <w:t xml:space="preserve"> 2 - Nature Governance (ID: LIFE-2022-SAP-NAT-GOV)</w:t>
      </w:r>
      <w:r w:rsidRPr="00382CC8">
        <w:rPr>
          <w:rFonts w:ascii="Baskerville Old Face" w:eastAsia="Times New Roman" w:hAnsi="Baskerville Old Face" w:cs="Lucida Sans Unicode"/>
          <w:sz w:val="28"/>
          <w:szCs w:val="28"/>
          <w:lang w:eastAsia="it-IT"/>
        </w:rPr>
        <w:br/>
        <w:t>I progetti devono sostenere l'attuazione degli aspetti di governance della strategia UE sulla biodiversità per il 2030, con particolare attenzione alla legislazione dell'UE sulla natura e la biodiversità:</w:t>
      </w:r>
      <w:r w:rsidRPr="00382CC8">
        <w:rPr>
          <w:rFonts w:ascii="Baskerville Old Face" w:eastAsia="Times New Roman" w:hAnsi="Baskerville Old Face" w:cs="Lucida Sans Unicode"/>
          <w:sz w:val="28"/>
          <w:szCs w:val="28"/>
          <w:lang w:eastAsia="it-IT"/>
        </w:rPr>
        <w:br/>
        <w:t>- promuovendo l'effettiva partecipazione pubblica e l'accesso alla giustizia nelle politiche sulla natura e sulla biodiversità e nelle questioni legislative tra il pubblico, le ONG, gli avvocati, la magistratura, le pubbliche amministrazioni;</w:t>
      </w:r>
      <w:r w:rsidRPr="00382CC8">
        <w:rPr>
          <w:rFonts w:ascii="Baskerville Old Face" w:eastAsia="Times New Roman" w:hAnsi="Baskerville Old Face" w:cs="Lucida Sans Unicode"/>
          <w:sz w:val="28"/>
          <w:szCs w:val="28"/>
          <w:lang w:eastAsia="it-IT"/>
        </w:rPr>
        <w:br/>
        <w:t>- creando nuove reti di professionisti o esperti in materia di garanzia della conformità, o potenziando quelle esistenti a livello transfrontaliero, nazionale o regionale;</w:t>
      </w:r>
      <w:r w:rsidRPr="00382CC8">
        <w:rPr>
          <w:rFonts w:ascii="Baskerville Old Face" w:eastAsia="Times New Roman" w:hAnsi="Baskerville Old Face" w:cs="Lucida Sans Unicode"/>
          <w:sz w:val="28"/>
          <w:szCs w:val="28"/>
          <w:lang w:eastAsia="it-IT"/>
        </w:rPr>
        <w:br/>
        <w:t>- stabilendo (o migliorandole se esistenti) qualifiche professionali e formazione per aumentare la partecipazione del pubblico, l'accesso alla giustizia e il rispetto degli strumenti giuridici vincolanti dell'UE sulla natura e la biodiversità attraverso la promozione, la verifica e l'applicazione della conformità;</w:t>
      </w:r>
      <w:r w:rsidRPr="00382CC8">
        <w:rPr>
          <w:rFonts w:ascii="Baskerville Old Face" w:eastAsia="Times New Roman" w:hAnsi="Baskerville Old Face" w:cs="Lucida Sans Unicode"/>
          <w:sz w:val="28"/>
          <w:szCs w:val="28"/>
          <w:lang w:eastAsia="it-IT"/>
        </w:rPr>
        <w:br/>
        <w:t>- sviluppando e dando attuazione a strategie e politiche e/o allo sviluppo e utilizzo di strumenti e azioni innovativi per promuovere, monitorare e far rispettare gli strumenti vincolanti dell'UE in materia di natura e biodiversità, compreso l'uso del diritto amministrativo, del diritto penale e della responsabilità ambientale;</w:t>
      </w:r>
      <w:r w:rsidRPr="00382CC8">
        <w:rPr>
          <w:rFonts w:ascii="Baskerville Old Face" w:eastAsia="Times New Roman" w:hAnsi="Baskerville Old Face" w:cs="Lucida Sans Unicode"/>
          <w:sz w:val="28"/>
          <w:szCs w:val="28"/>
          <w:lang w:eastAsia="it-IT"/>
        </w:rPr>
        <w:br/>
        <w:t>- migliorando i pertinenti sistemi informativi gestiti dalle autorità pubbliche;</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sz w:val="28"/>
          <w:szCs w:val="28"/>
          <w:lang w:eastAsia="it-IT"/>
        </w:rPr>
        <w:lastRenderedPageBreak/>
        <w:t>- coinvolgendo i cittadini nel promuovere e monitorare la conformità e garantire l'applicazione della responsabilità ambientale in relazione alla legislazione dell'UE sulla natura e sulla biodiversità.</w:t>
      </w:r>
    </w:p>
    <w:p w14:paraId="73C4C56C"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Beneficiari</w:t>
      </w:r>
    </w:p>
    <w:p w14:paraId="5ED6A649"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Persone giuridiche, pubbliche e private, stabilite in uno dei Paesi ammissibili a LIFE, ovvero Stati UE, compresi PTOM, e alcuni altri paesi (l'elenco aggiornato è scaricabile </w:t>
      </w:r>
      <w:hyperlink r:id="rId4" w:history="1">
        <w:r w:rsidRPr="00382CC8">
          <w:rPr>
            <w:rFonts w:ascii="Baskerville Old Face" w:eastAsia="Times New Roman" w:hAnsi="Baskerville Old Face" w:cs="Lucida Sans Unicode"/>
            <w:sz w:val="28"/>
            <w:szCs w:val="28"/>
            <w:u w:val="single"/>
            <w:lang w:eastAsia="it-IT"/>
          </w:rPr>
          <w:t>qui</w:t>
        </w:r>
      </w:hyperlink>
      <w:r w:rsidRPr="00382CC8">
        <w:rPr>
          <w:rFonts w:ascii="Baskerville Old Face" w:eastAsia="Times New Roman" w:hAnsi="Baskerville Old Face" w:cs="Lucida Sans Unicode"/>
          <w:sz w:val="28"/>
          <w:szCs w:val="28"/>
          <w:lang w:eastAsia="it-IT"/>
        </w:rPr>
        <w:t>); organizzazioni internazionali.</w:t>
      </w:r>
    </w:p>
    <w:p w14:paraId="6BB627A4"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Entità Contributo</w:t>
      </w:r>
    </w:p>
    <w:p w14:paraId="461BB8B6"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Per entrambi i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il contributo UE può coprire fio al </w:t>
      </w:r>
      <w:r w:rsidRPr="00382CC8">
        <w:rPr>
          <w:rFonts w:ascii="Baskerville Old Face" w:eastAsia="Times New Roman" w:hAnsi="Baskerville Old Face" w:cs="Lucida Sans Unicode"/>
          <w:b/>
          <w:bCs/>
          <w:sz w:val="28"/>
          <w:szCs w:val="28"/>
          <w:lang w:eastAsia="it-IT"/>
        </w:rPr>
        <w:t>60%</w:t>
      </w:r>
      <w:r w:rsidRPr="00382CC8">
        <w:rPr>
          <w:rFonts w:ascii="Baskerville Old Face" w:eastAsia="Times New Roman" w:hAnsi="Baskerville Old Face" w:cs="Lucida Sans Unicode"/>
          <w:sz w:val="28"/>
          <w:szCs w:val="28"/>
          <w:lang w:eastAsia="it-IT"/>
        </w:rPr>
        <w:t xml:space="preserve"> dei costi del </w:t>
      </w:r>
      <w:proofErr w:type="gramStart"/>
      <w:r w:rsidRPr="00382CC8">
        <w:rPr>
          <w:rFonts w:ascii="Baskerville Old Face" w:eastAsia="Times New Roman" w:hAnsi="Baskerville Old Face" w:cs="Lucida Sans Unicode"/>
          <w:sz w:val="28"/>
          <w:szCs w:val="28"/>
          <w:lang w:eastAsia="it-IT"/>
        </w:rPr>
        <w:t>progetto </w:t>
      </w:r>
      <w:r w:rsidRPr="00382CC8">
        <w:rPr>
          <w:rFonts w:ascii="Baskerville Old Face" w:eastAsia="Times New Roman" w:hAnsi="Baskerville Old Face" w:cs="Lucida Sans Unicode"/>
          <w:b/>
          <w:bCs/>
          <w:sz w:val="28"/>
          <w:szCs w:val="28"/>
          <w:lang w:eastAsia="it-IT"/>
        </w:rPr>
        <w:t>.</w:t>
      </w:r>
      <w:proofErr w:type="gramEnd"/>
    </w:p>
    <w:p w14:paraId="3089FAF4"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Per il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w:t>
      </w:r>
      <w:r w:rsidRPr="00382CC8">
        <w:rPr>
          <w:rFonts w:ascii="Baskerville Old Face" w:eastAsia="Times New Roman" w:hAnsi="Baskerville Old Face" w:cs="Lucida Sans Unicode"/>
          <w:i/>
          <w:iCs/>
          <w:sz w:val="28"/>
          <w:szCs w:val="28"/>
          <w:lang w:eastAsia="it-IT"/>
        </w:rPr>
        <w:t>LIFE-2022-SAP-NAT-NATURE</w:t>
      </w:r>
      <w:r w:rsidRPr="00382CC8">
        <w:rPr>
          <w:rFonts w:ascii="Baskerville Old Face" w:eastAsia="Times New Roman" w:hAnsi="Baskerville Old Face" w:cs="Lucida Sans Unicode"/>
          <w:sz w:val="28"/>
          <w:szCs w:val="28"/>
          <w:lang w:eastAsia="it-IT"/>
        </w:rPr>
        <w:t> il budget complessivo di un progetto deve essere compreso fra</w:t>
      </w:r>
      <w:r w:rsidRPr="00382CC8">
        <w:rPr>
          <w:rFonts w:ascii="Baskerville Old Face" w:eastAsia="Times New Roman" w:hAnsi="Baskerville Old Face" w:cs="Lucida Sans Unicode"/>
          <w:b/>
          <w:bCs/>
          <w:sz w:val="28"/>
          <w:szCs w:val="28"/>
          <w:lang w:eastAsia="it-IT"/>
        </w:rPr>
        <w:t> 2 e 13 milioni di euro</w:t>
      </w:r>
      <w:r w:rsidRPr="00382CC8">
        <w:rPr>
          <w:rFonts w:ascii="Baskerville Old Face" w:eastAsia="Times New Roman" w:hAnsi="Baskerville Old Face" w:cs="Lucida Sans Unicode"/>
          <w:sz w:val="28"/>
          <w:szCs w:val="28"/>
          <w:lang w:eastAsia="it-IT"/>
        </w:rPr>
        <w:t>; saranno finanziati indicativamente </w:t>
      </w:r>
      <w:r w:rsidRPr="00382CC8">
        <w:rPr>
          <w:rFonts w:ascii="Baskerville Old Face" w:eastAsia="Times New Roman" w:hAnsi="Baskerville Old Face" w:cs="Lucida Sans Unicode"/>
          <w:b/>
          <w:bCs/>
          <w:sz w:val="28"/>
          <w:szCs w:val="28"/>
          <w:lang w:eastAsia="it-IT"/>
        </w:rPr>
        <w:t>35 progetti</w:t>
      </w:r>
    </w:p>
    <w:p w14:paraId="386D3E81"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Per il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w:t>
      </w:r>
      <w:r w:rsidRPr="00382CC8">
        <w:rPr>
          <w:rFonts w:ascii="Baskerville Old Face" w:eastAsia="Times New Roman" w:hAnsi="Baskerville Old Face" w:cs="Lucida Sans Unicode"/>
          <w:i/>
          <w:iCs/>
          <w:sz w:val="28"/>
          <w:szCs w:val="28"/>
          <w:lang w:eastAsia="it-IT"/>
        </w:rPr>
        <w:t>LIFE-2022-SAP-NAT-GOV</w:t>
      </w:r>
      <w:r w:rsidRPr="00382CC8">
        <w:rPr>
          <w:rFonts w:ascii="Baskerville Old Face" w:eastAsia="Times New Roman" w:hAnsi="Baskerville Old Face" w:cs="Lucida Sans Unicode"/>
          <w:sz w:val="28"/>
          <w:szCs w:val="28"/>
          <w:lang w:eastAsia="it-IT"/>
        </w:rPr>
        <w:t> il budget complessivo di un progetto deve essere compreso fra </w:t>
      </w:r>
      <w:r w:rsidRPr="00382CC8">
        <w:rPr>
          <w:rFonts w:ascii="Baskerville Old Face" w:eastAsia="Times New Roman" w:hAnsi="Baskerville Old Face" w:cs="Lucida Sans Unicode"/>
          <w:b/>
          <w:bCs/>
          <w:sz w:val="28"/>
          <w:szCs w:val="28"/>
          <w:lang w:eastAsia="it-IT"/>
        </w:rPr>
        <w:t>1 e 2 milioni di euro</w:t>
      </w:r>
      <w:r w:rsidRPr="00382CC8">
        <w:rPr>
          <w:rFonts w:ascii="Baskerville Old Face" w:eastAsia="Times New Roman" w:hAnsi="Baskerville Old Face" w:cs="Lucida Sans Unicode"/>
          <w:sz w:val="28"/>
          <w:szCs w:val="28"/>
          <w:lang w:eastAsia="it-IT"/>
        </w:rPr>
        <w:t>; saranno finanziati indicativamente </w:t>
      </w:r>
      <w:r w:rsidRPr="00382CC8">
        <w:rPr>
          <w:rFonts w:ascii="Baskerville Old Face" w:eastAsia="Times New Roman" w:hAnsi="Baskerville Old Face" w:cs="Lucida Sans Unicode"/>
          <w:b/>
          <w:bCs/>
          <w:sz w:val="28"/>
          <w:szCs w:val="28"/>
          <w:lang w:eastAsia="it-IT"/>
        </w:rPr>
        <w:t>2 progetti</w:t>
      </w:r>
    </w:p>
    <w:p w14:paraId="5203A8DD"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Modalità e procedura</w:t>
      </w:r>
    </w:p>
    <w:p w14:paraId="7172037E"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Ognuno dei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prevede documentazione specifica per la presentazione di una proposta progettuale.</w:t>
      </w:r>
    </w:p>
    <w:p w14:paraId="3DFCF77A"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Oltre alla documentazione ufficiale di riferimento CINEA ha organizzato dei </w:t>
      </w:r>
      <w:hyperlink r:id="rId5" w:history="1">
        <w:r w:rsidRPr="00382CC8">
          <w:rPr>
            <w:rFonts w:ascii="Baskerville Old Face" w:eastAsia="Times New Roman" w:hAnsi="Baskerville Old Face" w:cs="Lucida Sans Unicode"/>
            <w:sz w:val="28"/>
            <w:szCs w:val="28"/>
            <w:u w:val="single"/>
            <w:lang w:eastAsia="it-IT"/>
          </w:rPr>
          <w:t>webinar </w:t>
        </w:r>
      </w:hyperlink>
      <w:r w:rsidRPr="00382CC8">
        <w:rPr>
          <w:rFonts w:ascii="Baskerville Old Face" w:eastAsia="Times New Roman" w:hAnsi="Baskerville Old Face" w:cs="Lucida Sans Unicode"/>
          <w:sz w:val="28"/>
          <w:szCs w:val="28"/>
          <w:lang w:eastAsia="it-IT"/>
        </w:rPr>
        <w:t>(nei giorni </w:t>
      </w:r>
      <w:r w:rsidRPr="00382CC8">
        <w:rPr>
          <w:rFonts w:ascii="Baskerville Old Face" w:eastAsia="Times New Roman" w:hAnsi="Baskerville Old Face" w:cs="Lucida Sans Unicode"/>
          <w:b/>
          <w:bCs/>
          <w:sz w:val="28"/>
          <w:szCs w:val="28"/>
          <w:lang w:eastAsia="it-IT"/>
        </w:rPr>
        <w:t>18-20 maggio</w:t>
      </w:r>
      <w:r w:rsidRPr="00382CC8">
        <w:rPr>
          <w:rFonts w:ascii="Baskerville Old Face" w:eastAsia="Times New Roman" w:hAnsi="Baskerville Old Face" w:cs="Lucida Sans Unicode"/>
          <w:sz w:val="28"/>
          <w:szCs w:val="28"/>
          <w:lang w:eastAsia="it-IT"/>
        </w:rPr>
        <w:t>) e della documentazione di approfondimento dedicata ai potenziali proponenti per illustrare i contenuti del bando, disponibile sulla pagina web di riferimento (le registrazioni delle diverse sessioni dei webinar saranno disponibili dopo il 30 maggio).</w:t>
      </w:r>
    </w:p>
    <w:p w14:paraId="2CAEE328"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Scadenza</w:t>
      </w:r>
    </w:p>
    <w:p w14:paraId="4C4D3538"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sz w:val="28"/>
          <w:szCs w:val="28"/>
          <w:lang w:eastAsia="it-IT"/>
        </w:rPr>
        <w:t>4 ottobre 2022</w:t>
      </w:r>
      <w:r w:rsidRPr="00382CC8">
        <w:rPr>
          <w:rFonts w:ascii="Baskerville Old Face" w:eastAsia="Times New Roman" w:hAnsi="Baskerville Old Face" w:cs="Lucida Sans Unicode"/>
          <w:sz w:val="28"/>
          <w:szCs w:val="28"/>
          <w:lang w:eastAsia="it-IT"/>
        </w:rPr>
        <w:t>, </w:t>
      </w:r>
      <w:r w:rsidRPr="00382CC8">
        <w:rPr>
          <w:rFonts w:ascii="Baskerville Old Face" w:eastAsia="Times New Roman" w:hAnsi="Baskerville Old Face" w:cs="Lucida Sans Unicode"/>
          <w:b/>
          <w:bCs/>
          <w:sz w:val="28"/>
          <w:szCs w:val="28"/>
          <w:lang w:eastAsia="it-IT"/>
        </w:rPr>
        <w:t>ore 17 </w:t>
      </w:r>
      <w:r w:rsidRPr="00382CC8">
        <w:rPr>
          <w:rFonts w:ascii="Baskerville Old Face" w:eastAsia="Times New Roman" w:hAnsi="Baskerville Old Face" w:cs="Lucida Sans Unicode"/>
          <w:sz w:val="28"/>
          <w:szCs w:val="28"/>
          <w:lang w:eastAsia="it-IT"/>
        </w:rPr>
        <w:t>(ora di Bruxelles)</w:t>
      </w:r>
    </w:p>
    <w:p w14:paraId="336BB50D" w14:textId="77777777" w:rsidR="00382CC8" w:rsidRPr="00382CC8" w:rsidRDefault="00382CC8" w:rsidP="00382CC8">
      <w:pPr>
        <w:shd w:val="clear" w:color="auto" w:fill="FFFFFF"/>
        <w:spacing w:after="180" w:line="360" w:lineRule="atLeast"/>
        <w:jc w:val="center"/>
        <w:rPr>
          <w:rFonts w:ascii="Baskerville Old Face" w:eastAsia="Times New Roman" w:hAnsi="Baskerville Old Face" w:cs="Lucida Sans Unicode"/>
          <w:b/>
          <w:bCs/>
          <w:sz w:val="28"/>
          <w:szCs w:val="28"/>
          <w:lang w:eastAsia="it-IT"/>
        </w:rPr>
      </w:pPr>
      <w:r w:rsidRPr="00382CC8">
        <w:rPr>
          <w:rFonts w:ascii="Baskerville Old Face" w:eastAsia="Times New Roman" w:hAnsi="Baskerville Old Face" w:cs="Lucida Sans Unicode"/>
          <w:b/>
          <w:bCs/>
          <w:sz w:val="28"/>
          <w:szCs w:val="28"/>
          <w:lang w:eastAsia="it-IT"/>
        </w:rPr>
        <w:t>LIFE 2021-2027 – Sottoprogramma Transizione all’energia pulita - Bando 2022 per azioni di coordinamento e di sostegno (CSA)</w:t>
      </w:r>
    </w:p>
    <w:p w14:paraId="460D9488"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Titolo</w:t>
      </w:r>
    </w:p>
    <w:p w14:paraId="1207F2F6" w14:textId="77777777" w:rsidR="00382CC8" w:rsidRPr="00382CC8" w:rsidRDefault="00382CC8" w:rsidP="00382CC8">
      <w:pPr>
        <w:shd w:val="clear" w:color="auto" w:fill="FFFFFF"/>
        <w:spacing w:after="0" w:line="240" w:lineRule="auto"/>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sz w:val="28"/>
          <w:szCs w:val="28"/>
          <w:lang w:eastAsia="it-IT"/>
        </w:rPr>
        <w:t>Programme</w:t>
      </w:r>
      <w:proofErr w:type="spellEnd"/>
      <w:r w:rsidRPr="00382CC8">
        <w:rPr>
          <w:rFonts w:ascii="Baskerville Old Face" w:eastAsia="Times New Roman" w:hAnsi="Baskerville Old Face" w:cs="Lucida Sans Unicode"/>
          <w:sz w:val="28"/>
          <w:szCs w:val="28"/>
          <w:lang w:eastAsia="it-IT"/>
        </w:rPr>
        <w:t xml:space="preserve"> for the Environment and </w:t>
      </w:r>
      <w:proofErr w:type="spellStart"/>
      <w:r w:rsidRPr="00382CC8">
        <w:rPr>
          <w:rFonts w:ascii="Baskerville Old Face" w:eastAsia="Times New Roman" w:hAnsi="Baskerville Old Face" w:cs="Lucida Sans Unicode"/>
          <w:sz w:val="28"/>
          <w:szCs w:val="28"/>
          <w:lang w:eastAsia="it-IT"/>
        </w:rPr>
        <w:t>Climate</w:t>
      </w:r>
      <w:proofErr w:type="spellEnd"/>
      <w:r w:rsidRPr="00382CC8">
        <w:rPr>
          <w:rFonts w:ascii="Baskerville Old Face" w:eastAsia="Times New Roman" w:hAnsi="Baskerville Old Face" w:cs="Lucida Sans Unicode"/>
          <w:sz w:val="28"/>
          <w:szCs w:val="28"/>
          <w:lang w:eastAsia="it-IT"/>
        </w:rPr>
        <w:t xml:space="preserve"> Action (LIFE): Call for </w:t>
      </w:r>
      <w:proofErr w:type="spellStart"/>
      <w:r w:rsidRPr="00382CC8">
        <w:rPr>
          <w:rFonts w:ascii="Baskerville Old Face" w:eastAsia="Times New Roman" w:hAnsi="Baskerville Old Face" w:cs="Lucida Sans Unicode"/>
          <w:sz w:val="28"/>
          <w:szCs w:val="28"/>
          <w:lang w:eastAsia="it-IT"/>
        </w:rPr>
        <w:t>proposals</w:t>
      </w:r>
      <w:proofErr w:type="spellEnd"/>
      <w:r w:rsidRPr="00382CC8">
        <w:rPr>
          <w:rFonts w:ascii="Baskerville Old Face" w:eastAsia="Times New Roman" w:hAnsi="Baskerville Old Face" w:cs="Lucida Sans Unicode"/>
          <w:sz w:val="28"/>
          <w:szCs w:val="28"/>
          <w:lang w:eastAsia="it-IT"/>
        </w:rPr>
        <w:t xml:space="preserve"> - Life </w:t>
      </w:r>
      <w:proofErr w:type="spellStart"/>
      <w:r w:rsidRPr="00382CC8">
        <w:rPr>
          <w:rFonts w:ascii="Baskerville Old Face" w:eastAsia="Times New Roman" w:hAnsi="Baskerville Old Face" w:cs="Lucida Sans Unicode"/>
          <w:sz w:val="28"/>
          <w:szCs w:val="28"/>
          <w:lang w:eastAsia="it-IT"/>
        </w:rPr>
        <w:t>Clean</w:t>
      </w:r>
      <w:proofErr w:type="spellEnd"/>
      <w:r w:rsidRPr="00382CC8">
        <w:rPr>
          <w:rFonts w:ascii="Baskerville Old Face" w:eastAsia="Times New Roman" w:hAnsi="Baskerville Old Face" w:cs="Lucida Sans Unicode"/>
          <w:sz w:val="28"/>
          <w:szCs w:val="28"/>
          <w:lang w:eastAsia="it-IT"/>
        </w:rPr>
        <w:t xml:space="preserve"> Energy </w:t>
      </w:r>
      <w:proofErr w:type="spellStart"/>
      <w:r w:rsidRPr="00382CC8">
        <w:rPr>
          <w:rFonts w:ascii="Baskerville Old Face" w:eastAsia="Times New Roman" w:hAnsi="Baskerville Old Face" w:cs="Lucida Sans Unicode"/>
          <w:sz w:val="28"/>
          <w:szCs w:val="28"/>
          <w:lang w:eastAsia="it-IT"/>
        </w:rPr>
        <w:t>Transition</w:t>
      </w:r>
      <w:proofErr w:type="spellEnd"/>
    </w:p>
    <w:p w14:paraId="56007AC4"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Oggetto</w:t>
      </w:r>
    </w:p>
    <w:p w14:paraId="6B72A245"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Bando per azioni di coordinamento e di sostegno (CSA) nel quadro del sottoprogramma Transizione all’energia pulita, volto a facilitare la transizione verso un'economia efficiente dal punto di vista energetico, basata sull'energia rinnovabile, climaticamente neutra e resiliente.</w:t>
      </w:r>
    </w:p>
    <w:p w14:paraId="27C80E94"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lastRenderedPageBreak/>
        <w:t>Fonte</w:t>
      </w:r>
    </w:p>
    <w:p w14:paraId="40E4119E" w14:textId="77777777" w:rsidR="00382CC8" w:rsidRPr="00382CC8" w:rsidRDefault="00382CC8" w:rsidP="00382CC8">
      <w:pPr>
        <w:shd w:val="clear" w:color="auto" w:fill="FFFFFF"/>
        <w:spacing w:after="0" w:line="240" w:lineRule="auto"/>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Commissione europea - Funding &amp; Tender Portal LIFE-2022-CET del 17/5/2022</w:t>
      </w:r>
    </w:p>
    <w:p w14:paraId="0884A9AD"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Ente Erogatore</w:t>
      </w:r>
    </w:p>
    <w:p w14:paraId="646E0C11"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Commissione europea</w:t>
      </w:r>
    </w:p>
    <w:p w14:paraId="6CD1C72F"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Obiettivo</w:t>
      </w:r>
    </w:p>
    <w:p w14:paraId="46D33C34"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Il sottoprogramma Transizione all’energia pulita ha i seguenti obiettivi</w:t>
      </w:r>
    </w:p>
    <w:p w14:paraId="30B9608C"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sviluppare, dimostrare e promuovere tecniche, metodi e approcci innovativi per raggiungere gli obiettivi della legislazione e della politica dell'UE sulla transizione verso l'energia rinnovabile sostenibile e una maggiore efficienza energetica e contribuire alla base di conoscenze e all'applicazione delle migliori pratiche</w:t>
      </w:r>
    </w:p>
    <w:p w14:paraId="52B9A38A"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sostenere lo sviluppo, l'attuazione, il monitoraggio e l'applicazione della legislazione e della politica dell'UE sulla transizione verso l'energia rinnovabile sostenibile o una maggiore efficienza energetica, anche migliorando la governance a tutti i livelli, in particolare rafforzando le capacità degli attori pubblici e privati e il coinvolgimento della società civile</w:t>
      </w:r>
    </w:p>
    <w:p w14:paraId="36C3C651"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catalizzare la diffusione su larga scala di soluzioni tecniche e politiche di successo per l'attuazione della legislazione dell'UE sulla transizione verso l'energia rinnovabile o una maggiore efficienza energetica replicando i risultati, integrando gli obiettivi correlati in altre politiche e nelle pratiche del settore pubblico e privato, mobilitando investimenti e migliorando l'accesso ai finanziamenti</w:t>
      </w:r>
    </w:p>
    <w:p w14:paraId="0F9BDB75"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Azioni</w:t>
      </w:r>
    </w:p>
    <w:p w14:paraId="693EDCA9"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Il bando finanzia </w:t>
      </w:r>
      <w:r w:rsidRPr="00382CC8">
        <w:rPr>
          <w:rFonts w:ascii="Baskerville Old Face" w:eastAsia="Times New Roman" w:hAnsi="Baskerville Old Face" w:cs="Lucida Sans Unicode"/>
          <w:b/>
          <w:bCs/>
          <w:sz w:val="28"/>
          <w:szCs w:val="28"/>
          <w:lang w:eastAsia="it-IT"/>
        </w:rPr>
        <w:t>azioni di coordinamento e sostegno (CSA)</w:t>
      </w:r>
      <w:r w:rsidRPr="00382CC8">
        <w:rPr>
          <w:rFonts w:ascii="Baskerville Old Face" w:eastAsia="Times New Roman" w:hAnsi="Baskerville Old Face" w:cs="Lucida Sans Unicode"/>
          <w:sz w:val="28"/>
          <w:szCs w:val="28"/>
          <w:lang w:eastAsia="it-IT"/>
        </w:rPr>
        <w:t> che sono azione ad elevato valore aggiunto tese a rompere le barriere del mercato che ostacolano la transizione socioeconomica verso l'energia sostenibile, coinvolgendo in genere più parti interessate di piccole e medie dimensioni, più attori tra cui autorità pubbliche locali e regionali e organizzazioni senza scopo di lucro, nonché i consumatori.</w:t>
      </w:r>
    </w:p>
    <w:p w14:paraId="2BA43256"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Il bando riguarda </w:t>
      </w:r>
      <w:r w:rsidRPr="00382CC8">
        <w:rPr>
          <w:rFonts w:ascii="Baskerville Old Face" w:eastAsia="Times New Roman" w:hAnsi="Baskerville Old Face" w:cs="Lucida Sans Unicode"/>
          <w:b/>
          <w:bCs/>
          <w:sz w:val="28"/>
          <w:szCs w:val="28"/>
          <w:lang w:eastAsia="it-IT"/>
        </w:rPr>
        <w:t xml:space="preserve">18 </w:t>
      </w:r>
      <w:proofErr w:type="spellStart"/>
      <w:r w:rsidRPr="00382CC8">
        <w:rPr>
          <w:rFonts w:ascii="Baskerville Old Face" w:eastAsia="Times New Roman" w:hAnsi="Baskerville Old Face" w:cs="Lucida Sans Unicode"/>
          <w:b/>
          <w:bCs/>
          <w:sz w:val="28"/>
          <w:szCs w:val="28"/>
          <w:lang w:eastAsia="it-IT"/>
        </w:rPr>
        <w:t>topic</w:t>
      </w:r>
      <w:proofErr w:type="spellEnd"/>
      <w:r w:rsidRPr="00382CC8">
        <w:rPr>
          <w:rFonts w:ascii="Baskerville Old Face" w:eastAsia="Times New Roman" w:hAnsi="Baskerville Old Face" w:cs="Lucida Sans Unicode"/>
          <w:sz w:val="28"/>
          <w:szCs w:val="28"/>
          <w:lang w:eastAsia="it-IT"/>
        </w:rPr>
        <w:t>, per ognuno dei quali sarà finanziata una sola proposta progettuale.</w:t>
      </w:r>
    </w:p>
    <w:p w14:paraId="552BD925"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I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sono raggruppati nell’ambito di 5 temi.</w:t>
      </w:r>
    </w:p>
    <w:p w14:paraId="0E363A5C"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sz w:val="28"/>
          <w:szCs w:val="28"/>
          <w:lang w:eastAsia="it-IT"/>
        </w:rPr>
        <w:t>Tema 1: Costruire un quadro politico nazionale, regionale e locale a sostegno della transizione verso l'energia pulita</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1 - Supporto tecnico ai piani e alle strategie di transizione verso l'energia pulita nei comuni e nelle regioni</w:t>
      </w:r>
      <w:r w:rsidRPr="00382CC8">
        <w:rPr>
          <w:rFonts w:ascii="Baskerville Old Face" w:eastAsia="Times New Roman" w:hAnsi="Baskerville Old Face" w:cs="Lucida Sans Unicode"/>
          <w:b/>
          <w:bCs/>
          <w:sz w:val="28"/>
          <w:szCs w:val="28"/>
          <w:lang w:eastAsia="it-IT"/>
        </w:rPr>
        <w:t> </w:t>
      </w:r>
      <w:r w:rsidRPr="00382CC8">
        <w:rPr>
          <w:rFonts w:ascii="Baskerville Old Face" w:eastAsia="Times New Roman" w:hAnsi="Baskerville Old Face" w:cs="Lucida Sans Unicode"/>
          <w:sz w:val="28"/>
          <w:szCs w:val="28"/>
          <w:lang w:eastAsia="it-IT"/>
        </w:rPr>
        <w:t>(ID: LIFE-2022-CET-LOCAL)</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2 - Verso un'efficace attuazione della legislazione chiave nel campo dell'energia sostenibile</w:t>
      </w:r>
      <w:r w:rsidRPr="00382CC8">
        <w:rPr>
          <w:rFonts w:ascii="Baskerville Old Face" w:eastAsia="Times New Roman" w:hAnsi="Baskerville Old Face" w:cs="Lucida Sans Unicode"/>
          <w:sz w:val="28"/>
          <w:szCs w:val="28"/>
          <w:lang w:eastAsia="it-IT"/>
        </w:rPr>
        <w:t> (ID: LIFE-2022-CET-POLICY)</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i/>
          <w:iCs/>
          <w:sz w:val="28"/>
          <w:szCs w:val="28"/>
          <w:lang w:eastAsia="it-IT"/>
        </w:rPr>
        <w:lastRenderedPageBreak/>
        <w:t>Ambito d’azione </w:t>
      </w:r>
      <w:r w:rsidRPr="00382CC8">
        <w:rPr>
          <w:rFonts w:ascii="Baskerville Old Face" w:eastAsia="Times New Roman" w:hAnsi="Baskerville Old Face" w:cs="Lucida Sans Unicode"/>
          <w:sz w:val="28"/>
          <w:szCs w:val="28"/>
          <w:lang w:eastAsia="it-IT"/>
        </w:rPr>
        <w:t xml:space="preserve">C. Supporto all’implementazione della direttiva </w:t>
      </w:r>
      <w:proofErr w:type="spellStart"/>
      <w:r w:rsidRPr="00382CC8">
        <w:rPr>
          <w:rFonts w:ascii="Baskerville Old Face" w:eastAsia="Times New Roman" w:hAnsi="Baskerville Old Face" w:cs="Lucida Sans Unicode"/>
          <w:sz w:val="28"/>
          <w:szCs w:val="28"/>
          <w:lang w:eastAsia="it-IT"/>
        </w:rPr>
        <w:t>sull</w:t>
      </w:r>
      <w:proofErr w:type="spellEnd"/>
      <w:r w:rsidRPr="00382CC8">
        <w:rPr>
          <w:rFonts w:ascii="Baskerville Old Face" w:eastAsia="Times New Roman" w:hAnsi="Baskerville Old Face" w:cs="Lucida Sans Unicode"/>
          <w:sz w:val="28"/>
          <w:szCs w:val="28"/>
          <w:lang w:eastAsia="it-IT"/>
        </w:rPr>
        <w:t xml:space="preserve"> prestazione energetica nell’edilizia</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3 - Nuova struttura di supporto per la conformità alla progettazione ecocompatibile e all'etichettatura energetica per fornitori e rivenditori</w:t>
      </w:r>
      <w:r w:rsidRPr="00382CC8">
        <w:rPr>
          <w:rFonts w:ascii="Baskerville Old Face" w:eastAsia="Times New Roman" w:hAnsi="Baskerville Old Face" w:cs="Lucida Sans Unicode"/>
          <w:sz w:val="28"/>
          <w:szCs w:val="28"/>
          <w:lang w:eastAsia="it-IT"/>
        </w:rPr>
        <w:t> (ID: LIFE-2022-CET-COMPLIANCE)</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4 - Rendere più operativo il principio "Efficienza energetica prima di tutto"</w:t>
      </w:r>
      <w:r w:rsidRPr="00382CC8">
        <w:rPr>
          <w:rFonts w:ascii="Baskerville Old Face" w:eastAsia="Times New Roman" w:hAnsi="Baskerville Old Face" w:cs="Lucida Sans Unicode"/>
          <w:sz w:val="28"/>
          <w:szCs w:val="28"/>
          <w:lang w:eastAsia="it-IT"/>
        </w:rPr>
        <w:t> (ID : LIFE-2022-CET-EE1st)</w:t>
      </w:r>
    </w:p>
    <w:p w14:paraId="51698DB3"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b/>
          <w:bCs/>
          <w:sz w:val="28"/>
          <w:szCs w:val="28"/>
          <w:lang w:eastAsia="it-IT"/>
        </w:rPr>
        <w:t>Tema 2: Accelerare il roll-out tecnologico, la digitalizzazione, nuovi servizi e modelli di business e la valorizzazione delle competenze professionali collegate sul mercato</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5 - Verso un patrimonio edilizio a emissioni zero: rafforzare il quadro abilitante per una profonda ristrutturazione</w:t>
      </w:r>
      <w:r w:rsidRPr="00382CC8">
        <w:rPr>
          <w:rFonts w:ascii="Baskerville Old Face" w:eastAsia="Times New Roman" w:hAnsi="Baskerville Old Face" w:cs="Lucida Sans Unicode"/>
          <w:sz w:val="28"/>
          <w:szCs w:val="28"/>
          <w:lang w:eastAsia="it-IT"/>
        </w:rPr>
        <w:t> (ID: LIFE-2022-CET-DEEPRENO)</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6 - Prestazioni energetiche e Smart Readiness degli edifici: far funzionare gli strumenti</w:t>
      </w:r>
      <w:r w:rsidRPr="00382CC8">
        <w:rPr>
          <w:rFonts w:ascii="Baskerville Old Face" w:eastAsia="Times New Roman" w:hAnsi="Baskerville Old Face" w:cs="Lucida Sans Unicode"/>
          <w:sz w:val="28"/>
          <w:szCs w:val="28"/>
          <w:lang w:eastAsia="it-IT"/>
        </w:rPr>
        <w:t> (ID: LIFE-2022-CET-BUILDPERFORM)</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i/>
          <w:iCs/>
          <w:sz w:val="28"/>
          <w:szCs w:val="28"/>
          <w:lang w:eastAsia="it-IT"/>
        </w:rPr>
        <w:t>Ambiti d’azione</w:t>
      </w:r>
      <w:r w:rsidRPr="00382CC8">
        <w:rPr>
          <w:rFonts w:ascii="Baskerville Old Face" w:eastAsia="Times New Roman" w:hAnsi="Baskerville Old Face" w:cs="Lucida Sans Unicode"/>
          <w:sz w:val="28"/>
          <w:szCs w:val="28"/>
          <w:lang w:eastAsia="it-IT"/>
        </w:rPr>
        <w:br/>
        <w:t>A. Sostegno agli Stati membri e ai loro organismi di attuazione</w:t>
      </w:r>
      <w:r w:rsidRPr="00382CC8">
        <w:rPr>
          <w:rFonts w:ascii="Baskerville Old Face" w:eastAsia="Times New Roman" w:hAnsi="Baskerville Old Face" w:cs="Lucida Sans Unicode"/>
          <w:sz w:val="28"/>
          <w:szCs w:val="28"/>
          <w:lang w:eastAsia="it-IT"/>
        </w:rPr>
        <w:br/>
        <w:t xml:space="preserve">B. Supportare l'adozione da parte del mercato degli Attestati di Prestazione Energetica e dello Smart Readiness </w:t>
      </w:r>
      <w:proofErr w:type="spellStart"/>
      <w:r w:rsidRPr="00382CC8">
        <w:rPr>
          <w:rFonts w:ascii="Baskerville Old Face" w:eastAsia="Times New Roman" w:hAnsi="Baskerville Old Face" w:cs="Lucida Sans Unicode"/>
          <w:sz w:val="28"/>
          <w:szCs w:val="28"/>
          <w:lang w:eastAsia="it-IT"/>
        </w:rPr>
        <w:t>Indicator</w:t>
      </w:r>
      <w:proofErr w:type="spellEnd"/>
    </w:p>
    <w:p w14:paraId="596DE14B"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7 - Sostenere la transizione verso l'energia pulita del settore delle imprese</w:t>
      </w:r>
      <w:r w:rsidRPr="00382CC8">
        <w:rPr>
          <w:rFonts w:ascii="Baskerville Old Face" w:eastAsia="Times New Roman" w:hAnsi="Baskerville Old Face" w:cs="Lucida Sans Unicode"/>
          <w:sz w:val="28"/>
          <w:szCs w:val="28"/>
          <w:lang w:eastAsia="it-IT"/>
        </w:rPr>
        <w:t> (ID: LIFE-2022-CET-BUSINESS)</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i/>
          <w:iCs/>
          <w:sz w:val="28"/>
          <w:szCs w:val="28"/>
          <w:lang w:eastAsia="it-IT"/>
        </w:rPr>
        <w:t>Ambiti d’azione</w:t>
      </w:r>
      <w:r w:rsidRPr="00382CC8">
        <w:rPr>
          <w:rFonts w:ascii="Baskerville Old Face" w:eastAsia="Times New Roman" w:hAnsi="Baskerville Old Face" w:cs="Lucida Sans Unicode"/>
          <w:sz w:val="28"/>
          <w:szCs w:val="28"/>
          <w:lang w:eastAsia="it-IT"/>
        </w:rPr>
        <w:br/>
        <w:t>A. Promuovere un ecosistema favorevole di audit energetici</w:t>
      </w:r>
      <w:r w:rsidRPr="00382CC8">
        <w:rPr>
          <w:rFonts w:ascii="Baskerville Old Face" w:eastAsia="Times New Roman" w:hAnsi="Baskerville Old Face" w:cs="Lucida Sans Unicode"/>
          <w:sz w:val="28"/>
          <w:szCs w:val="28"/>
          <w:lang w:eastAsia="it-IT"/>
        </w:rPr>
        <w:br/>
        <w:t>B. Sbloccare il potenziale di efficienza energetica e di energie rinnovabili a livello di catena del valore</w:t>
      </w:r>
    </w:p>
    <w:p w14:paraId="6768EF35"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8 - BUILD UP Skills – Strategie e interventi di formazione per un parco edilizio </w:t>
      </w:r>
      <w:proofErr w:type="spellStart"/>
      <w:r w:rsidRPr="00382CC8">
        <w:rPr>
          <w:rFonts w:ascii="Baskerville Old Face" w:eastAsia="Times New Roman" w:hAnsi="Baskerville Old Face" w:cs="Lucida Sans Unicode"/>
          <w:b/>
          <w:bCs/>
          <w:i/>
          <w:iCs/>
          <w:sz w:val="28"/>
          <w:szCs w:val="28"/>
          <w:lang w:eastAsia="it-IT"/>
        </w:rPr>
        <w:t>decarbonizzato</w:t>
      </w:r>
      <w:proofErr w:type="spellEnd"/>
      <w:r w:rsidRPr="00382CC8">
        <w:rPr>
          <w:rFonts w:ascii="Baskerville Old Face" w:eastAsia="Times New Roman" w:hAnsi="Baskerville Old Face" w:cs="Lucida Sans Unicode"/>
          <w:b/>
          <w:bCs/>
          <w:i/>
          <w:iCs/>
          <w:sz w:val="28"/>
          <w:szCs w:val="28"/>
          <w:lang w:eastAsia="it-IT"/>
        </w:rPr>
        <w:t> </w:t>
      </w:r>
      <w:r w:rsidRPr="00382CC8">
        <w:rPr>
          <w:rFonts w:ascii="Baskerville Old Face" w:eastAsia="Times New Roman" w:hAnsi="Baskerville Old Face" w:cs="Lucida Sans Unicode"/>
          <w:sz w:val="28"/>
          <w:szCs w:val="28"/>
          <w:lang w:eastAsia="it-IT"/>
        </w:rPr>
        <w:t>(ID: LIFE-2022-CET-BUILDSKILLS)</w:t>
      </w:r>
      <w:r w:rsidRPr="00382CC8">
        <w:rPr>
          <w:rFonts w:ascii="Baskerville Old Face" w:eastAsia="Times New Roman" w:hAnsi="Baskerville Old Face" w:cs="Lucida Sans Unicode"/>
          <w:sz w:val="28"/>
          <w:szCs w:val="28"/>
          <w:lang w:eastAsia="it-IT"/>
        </w:rPr>
        <w:br/>
        <w:t>Ambiti d’azione</w:t>
      </w:r>
      <w:r w:rsidRPr="00382CC8">
        <w:rPr>
          <w:rFonts w:ascii="Baskerville Old Face" w:eastAsia="Times New Roman" w:hAnsi="Baskerville Old Face" w:cs="Lucida Sans Unicode"/>
          <w:sz w:val="28"/>
          <w:szCs w:val="28"/>
          <w:lang w:eastAsia="it-IT"/>
        </w:rPr>
        <w:br/>
        <w:t>A. Riavviare le piattaforme nazionali e le tabelle di marcia BUILD UP Skills</w:t>
      </w:r>
      <w:r w:rsidRPr="00382CC8">
        <w:rPr>
          <w:rFonts w:ascii="Baskerville Old Face" w:eastAsia="Times New Roman" w:hAnsi="Baskerville Old Face" w:cs="Lucida Sans Unicode"/>
          <w:sz w:val="28"/>
          <w:szCs w:val="28"/>
          <w:lang w:eastAsia="it-IT"/>
        </w:rPr>
        <w:br/>
        <w:t xml:space="preserve">B. Interventi di riqualificazione per un parco edilizio </w:t>
      </w:r>
      <w:proofErr w:type="spellStart"/>
      <w:r w:rsidRPr="00382CC8">
        <w:rPr>
          <w:rFonts w:ascii="Baskerville Old Face" w:eastAsia="Times New Roman" w:hAnsi="Baskerville Old Face" w:cs="Lucida Sans Unicode"/>
          <w:sz w:val="28"/>
          <w:szCs w:val="28"/>
          <w:lang w:eastAsia="it-IT"/>
        </w:rPr>
        <w:t>decarbonizzato</w:t>
      </w:r>
      <w:proofErr w:type="spellEnd"/>
    </w:p>
    <w:p w14:paraId="3FADB2D9"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9 - Integrazione di energia rinnovabile di bassa potenza o calore di scarto nel teleriscaldamento ad alta temperatura </w:t>
      </w:r>
      <w:r w:rsidRPr="00382CC8">
        <w:rPr>
          <w:rFonts w:ascii="Baskerville Old Face" w:eastAsia="Times New Roman" w:hAnsi="Baskerville Old Face" w:cs="Lucida Sans Unicode"/>
          <w:sz w:val="28"/>
          <w:szCs w:val="28"/>
          <w:lang w:eastAsia="it-IT"/>
        </w:rPr>
        <w:t>(ID: LIFE-2022-CET-DH)</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10 - Accelerare la distribuzione e l'accessibilità economica delle pompe di calore attraverso azioni di acquisto e approvvigionamento collettivo </w:t>
      </w:r>
      <w:r w:rsidRPr="00382CC8">
        <w:rPr>
          <w:rFonts w:ascii="Baskerville Old Face" w:eastAsia="Times New Roman" w:hAnsi="Baskerville Old Face" w:cs="Lucida Sans Unicode"/>
          <w:sz w:val="28"/>
          <w:szCs w:val="28"/>
          <w:lang w:eastAsia="it-IT"/>
        </w:rPr>
        <w:t>(ID: LIFE-2022-CET-HEATPUMPS)</w:t>
      </w:r>
    </w:p>
    <w:p w14:paraId="05B30C92"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b/>
          <w:bCs/>
          <w:sz w:val="28"/>
          <w:szCs w:val="28"/>
          <w:lang w:eastAsia="it-IT"/>
        </w:rPr>
        <w:t>Tema 3: Attrarre finanziamenti privati per l'energia sostenibile</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11 - Integrare gli investimenti in energia sostenibile nel settore finanziario</w:t>
      </w:r>
      <w:r w:rsidRPr="00382CC8">
        <w:rPr>
          <w:rFonts w:ascii="Baskerville Old Face" w:eastAsia="Times New Roman" w:hAnsi="Baskerville Old Face" w:cs="Lucida Sans Unicode"/>
          <w:sz w:val="28"/>
          <w:szCs w:val="28"/>
          <w:lang w:eastAsia="it-IT"/>
        </w:rPr>
        <w:t xml:space="preserve"> (ID: </w:t>
      </w:r>
      <w:r w:rsidRPr="00382CC8">
        <w:rPr>
          <w:rFonts w:ascii="Baskerville Old Face" w:eastAsia="Times New Roman" w:hAnsi="Baskerville Old Face" w:cs="Lucida Sans Unicode"/>
          <w:sz w:val="28"/>
          <w:szCs w:val="28"/>
          <w:lang w:eastAsia="it-IT"/>
        </w:rPr>
        <w:lastRenderedPageBreak/>
        <w:t>LIFE-2022-CET-MAINSTREAM)</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12 - Tavole rotonde nazionali di finanza per investimenti energetici sostenibili</w:t>
      </w:r>
      <w:r w:rsidRPr="00382CC8">
        <w:rPr>
          <w:rFonts w:ascii="Baskerville Old Face" w:eastAsia="Times New Roman" w:hAnsi="Baskerville Old Face" w:cs="Lucida Sans Unicode"/>
          <w:sz w:val="28"/>
          <w:szCs w:val="28"/>
          <w:lang w:eastAsia="it-IT"/>
        </w:rPr>
        <w:t> (ID: LIFE-2022-CET-FINROUND)</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13 - Sistemi di finanziamento innovativi per investimenti energetici sostenibili </w:t>
      </w:r>
      <w:r w:rsidRPr="00382CC8">
        <w:rPr>
          <w:rFonts w:ascii="Baskerville Old Face" w:eastAsia="Times New Roman" w:hAnsi="Baskerville Old Face" w:cs="Lucida Sans Unicode"/>
          <w:sz w:val="28"/>
          <w:szCs w:val="28"/>
          <w:lang w:eastAsia="it-IT"/>
        </w:rPr>
        <w:t>(ID: LIFE-2022-CET-INNOFIN)</w:t>
      </w:r>
    </w:p>
    <w:p w14:paraId="40F5F96E"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b/>
          <w:bCs/>
          <w:sz w:val="28"/>
          <w:szCs w:val="28"/>
          <w:lang w:eastAsia="it-IT"/>
        </w:rPr>
        <w:t>Tema 4. Sostenere lo sviluppo di progetti di investimento locali e regionali</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14 - Servizi integrati di ristrutturazione delle abitazioni</w:t>
      </w:r>
      <w:r w:rsidRPr="00382CC8">
        <w:rPr>
          <w:rFonts w:ascii="Baskerville Old Face" w:eastAsia="Times New Roman" w:hAnsi="Baskerville Old Face" w:cs="Lucida Sans Unicode"/>
          <w:sz w:val="28"/>
          <w:szCs w:val="28"/>
          <w:lang w:eastAsia="it-IT"/>
        </w:rPr>
        <w:t> (ID: LIFE-2022-CET-HOMERENO)</w:t>
      </w:r>
      <w:r w:rsidRPr="00382CC8">
        <w:rPr>
          <w:rFonts w:ascii="Baskerville Old Face" w:eastAsia="Times New Roman" w:hAnsi="Baskerville Old Face" w:cs="Lucida Sans Unicode"/>
          <w:sz w:val="28"/>
          <w:szCs w:val="28"/>
          <w:lang w:eastAsia="it-IT"/>
        </w:rPr>
        <w:br/>
        <w:t>Ambiti d’azione:</w:t>
      </w:r>
      <w:r w:rsidRPr="00382CC8">
        <w:rPr>
          <w:rFonts w:ascii="Baskerville Old Face" w:eastAsia="Times New Roman" w:hAnsi="Baskerville Old Face" w:cs="Lucida Sans Unicode"/>
          <w:sz w:val="28"/>
          <w:szCs w:val="28"/>
          <w:lang w:eastAsia="it-IT"/>
        </w:rPr>
        <w:br/>
        <w:t>A: Creazione o riproduzione di "servizi integrati di ristrutturazione domestica"</w:t>
      </w:r>
      <w:r w:rsidRPr="00382CC8">
        <w:rPr>
          <w:rFonts w:ascii="Baskerville Old Face" w:eastAsia="Times New Roman" w:hAnsi="Baskerville Old Face" w:cs="Lucida Sans Unicode"/>
          <w:sz w:val="28"/>
          <w:szCs w:val="28"/>
          <w:lang w:eastAsia="it-IT"/>
        </w:rPr>
        <w:br/>
        <w:t>B: Comunità UE di professionisti di "Servizi integrati di ristrutturazione domestica</w:t>
      </w:r>
    </w:p>
    <w:p w14:paraId="376EDA3C"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15 - Creazione di strutture di facilitazione per accelerare l'ondata di rinnovamento nel settore pubblico</w:t>
      </w:r>
      <w:r w:rsidRPr="00382CC8">
        <w:rPr>
          <w:rFonts w:ascii="Baskerville Old Face" w:eastAsia="Times New Roman" w:hAnsi="Baskerville Old Face" w:cs="Lucida Sans Unicode"/>
          <w:sz w:val="28"/>
          <w:szCs w:val="28"/>
          <w:lang w:eastAsia="it-IT"/>
        </w:rPr>
        <w:t> (ID: LIFE-2022-CET-RENOPUB)</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16 - Assistenza allo sviluppo di progetti per investimenti in energia sostenibile</w:t>
      </w:r>
      <w:r w:rsidRPr="00382CC8">
        <w:rPr>
          <w:rFonts w:ascii="Baskerville Old Face" w:eastAsia="Times New Roman" w:hAnsi="Baskerville Old Face" w:cs="Lucida Sans Unicode"/>
          <w:sz w:val="28"/>
          <w:szCs w:val="28"/>
          <w:lang w:eastAsia="it-IT"/>
        </w:rPr>
        <w:t> (ID: LIFE-2022-CET-PDA)</w:t>
      </w:r>
      <w:r w:rsidRPr="00382CC8">
        <w:rPr>
          <w:rFonts w:ascii="Baskerville Old Face" w:eastAsia="Times New Roman" w:hAnsi="Baskerville Old Face" w:cs="Lucida Sans Unicode"/>
          <w:sz w:val="28"/>
          <w:szCs w:val="28"/>
          <w:lang w:eastAsia="it-IT"/>
        </w:rPr>
        <w:br/>
        <w:t>Ambiti d’azione</w:t>
      </w:r>
      <w:r w:rsidRPr="00382CC8">
        <w:rPr>
          <w:rFonts w:ascii="Baskerville Old Face" w:eastAsia="Times New Roman" w:hAnsi="Baskerville Old Face" w:cs="Lucida Sans Unicode"/>
          <w:sz w:val="28"/>
          <w:szCs w:val="28"/>
          <w:lang w:eastAsia="it-IT"/>
        </w:rPr>
        <w:br/>
        <w:t>A. Assistenza allo sviluppo del progetto</w:t>
      </w:r>
      <w:r w:rsidRPr="00382CC8">
        <w:rPr>
          <w:rFonts w:ascii="Baskerville Old Face" w:eastAsia="Times New Roman" w:hAnsi="Baskerville Old Face" w:cs="Lucida Sans Unicode"/>
          <w:sz w:val="28"/>
          <w:szCs w:val="28"/>
          <w:lang w:eastAsia="it-IT"/>
        </w:rPr>
        <w:br/>
        <w:t>B. Comunità di operatori degli sportelli unici per i beni pubblici</w:t>
      </w:r>
    </w:p>
    <w:p w14:paraId="32B71181"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b/>
          <w:bCs/>
          <w:sz w:val="28"/>
          <w:szCs w:val="28"/>
          <w:lang w:eastAsia="it-IT"/>
        </w:rPr>
        <w:t>Tema 5: Coinvolgere e responsabilizzare i cittadini nella transizione verso l'energia pulita</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17 - Affrontare gli interventi relativi all'edilizia nei distretti vulnerabili </w:t>
      </w:r>
      <w:r w:rsidRPr="00382CC8">
        <w:rPr>
          <w:rFonts w:ascii="Baskerville Old Face" w:eastAsia="Times New Roman" w:hAnsi="Baskerville Old Face" w:cs="Lucida Sans Unicode"/>
          <w:sz w:val="28"/>
          <w:szCs w:val="28"/>
          <w:lang w:eastAsia="it-IT"/>
        </w:rPr>
        <w:t>(ID: LIFE-2022-CET-ENERPOV)</w:t>
      </w:r>
      <w:r w:rsidRPr="00382CC8">
        <w:rPr>
          <w:rFonts w:ascii="Baskerville Old Face" w:eastAsia="Times New Roman" w:hAnsi="Baskerville Old Face" w:cs="Lucida Sans Unicode"/>
          <w:sz w:val="28"/>
          <w:szCs w:val="28"/>
          <w:lang w:eastAsia="it-IT"/>
        </w:rPr>
        <w:br/>
      </w:r>
      <w:proofErr w:type="spellStart"/>
      <w:r w:rsidRPr="00382CC8">
        <w:rPr>
          <w:rFonts w:ascii="Baskerville Old Face" w:eastAsia="Times New Roman" w:hAnsi="Baskerville Old Face" w:cs="Lucida Sans Unicode"/>
          <w:b/>
          <w:bCs/>
          <w:i/>
          <w:iCs/>
          <w:sz w:val="28"/>
          <w:szCs w:val="28"/>
          <w:lang w:eastAsia="it-IT"/>
        </w:rPr>
        <w:t>Topic</w:t>
      </w:r>
      <w:proofErr w:type="spellEnd"/>
      <w:r w:rsidRPr="00382CC8">
        <w:rPr>
          <w:rFonts w:ascii="Baskerville Old Face" w:eastAsia="Times New Roman" w:hAnsi="Baskerville Old Face" w:cs="Lucida Sans Unicode"/>
          <w:b/>
          <w:bCs/>
          <w:i/>
          <w:iCs/>
          <w:sz w:val="28"/>
          <w:szCs w:val="28"/>
          <w:lang w:eastAsia="it-IT"/>
        </w:rPr>
        <w:t xml:space="preserve"> 18 - Sviluppare meccanismi di sostegno per le comunità energetich</w:t>
      </w:r>
      <w:r w:rsidRPr="00382CC8">
        <w:rPr>
          <w:rFonts w:ascii="Baskerville Old Face" w:eastAsia="Times New Roman" w:hAnsi="Baskerville Old Face" w:cs="Lucida Sans Unicode"/>
          <w:b/>
          <w:bCs/>
          <w:sz w:val="28"/>
          <w:szCs w:val="28"/>
          <w:lang w:eastAsia="it-IT"/>
        </w:rPr>
        <w:t>e </w:t>
      </w:r>
      <w:r w:rsidRPr="00382CC8">
        <w:rPr>
          <w:rFonts w:ascii="Baskerville Old Face" w:eastAsia="Times New Roman" w:hAnsi="Baskerville Old Face" w:cs="Lucida Sans Unicode"/>
          <w:sz w:val="28"/>
          <w:szCs w:val="28"/>
          <w:lang w:eastAsia="it-IT"/>
        </w:rPr>
        <w:t>(ID: LIFE-2022-CET-ENERCOM)</w:t>
      </w:r>
      <w:r w:rsidRPr="00382CC8">
        <w:rPr>
          <w:rFonts w:ascii="Baskerville Old Face" w:eastAsia="Times New Roman" w:hAnsi="Baskerville Old Face" w:cs="Lucida Sans Unicode"/>
          <w:sz w:val="28"/>
          <w:szCs w:val="28"/>
          <w:lang w:eastAsia="it-IT"/>
        </w:rPr>
        <w:br/>
        <w:t>Ambiti d’azione</w:t>
      </w:r>
      <w:r w:rsidRPr="00382CC8">
        <w:rPr>
          <w:rFonts w:ascii="Baskerville Old Face" w:eastAsia="Times New Roman" w:hAnsi="Baskerville Old Face" w:cs="Lucida Sans Unicode"/>
          <w:sz w:val="28"/>
          <w:szCs w:val="28"/>
          <w:lang w:eastAsia="it-IT"/>
        </w:rPr>
        <w:br/>
        <w:t>A. Enti locali che collaborano con iniziative guidate dai cittadini</w:t>
      </w:r>
      <w:r w:rsidRPr="00382CC8">
        <w:rPr>
          <w:rFonts w:ascii="Baskerville Old Face" w:eastAsia="Times New Roman" w:hAnsi="Baskerville Old Face" w:cs="Lucida Sans Unicode"/>
          <w:sz w:val="28"/>
          <w:szCs w:val="28"/>
          <w:lang w:eastAsia="it-IT"/>
        </w:rPr>
        <w:br/>
        <w:t>B. Sviluppo di servizi integrati a sostegno dell'energia della comunità</w:t>
      </w:r>
    </w:p>
    <w:p w14:paraId="3427564F"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I contenuti e i requisiti stabiliti per i singoli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sono dettagliati nel testo della </w:t>
      </w:r>
      <w:hyperlink r:id="rId6" w:history="1">
        <w:r w:rsidRPr="00382CC8">
          <w:rPr>
            <w:rFonts w:ascii="Baskerville Old Face" w:eastAsia="Times New Roman" w:hAnsi="Baskerville Old Face" w:cs="Lucida Sans Unicode"/>
            <w:sz w:val="28"/>
            <w:szCs w:val="28"/>
            <w:u w:val="single"/>
            <w:lang w:eastAsia="it-IT"/>
          </w:rPr>
          <w:t>call</w:t>
        </w:r>
      </w:hyperlink>
    </w:p>
    <w:p w14:paraId="6426E35F"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Beneficiari</w:t>
      </w:r>
    </w:p>
    <w:p w14:paraId="42EDA913"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Persone giuridiche, pubbliche e private, stabilite in uno dei Paesi ammissibili a LIFE, ovvero Stati UE, compresi PTOM, e alcuni altri paesi (l'elenco aggiornato è scaricabile </w:t>
      </w:r>
      <w:hyperlink r:id="rId7" w:history="1">
        <w:r w:rsidRPr="00382CC8">
          <w:rPr>
            <w:rFonts w:ascii="Baskerville Old Face" w:eastAsia="Times New Roman" w:hAnsi="Baskerville Old Face" w:cs="Lucida Sans Unicode"/>
            <w:sz w:val="28"/>
            <w:szCs w:val="28"/>
            <w:u w:val="single"/>
            <w:lang w:eastAsia="it-IT"/>
          </w:rPr>
          <w:t>qui</w:t>
        </w:r>
      </w:hyperlink>
      <w:r w:rsidRPr="00382CC8">
        <w:rPr>
          <w:rFonts w:ascii="Baskerville Old Face" w:eastAsia="Times New Roman" w:hAnsi="Baskerville Old Face" w:cs="Lucida Sans Unicode"/>
          <w:sz w:val="28"/>
          <w:szCs w:val="28"/>
          <w:lang w:eastAsia="it-IT"/>
        </w:rPr>
        <w:t>); organizzazioni internazionali.</w:t>
      </w:r>
      <w:r w:rsidRPr="00382CC8">
        <w:rPr>
          <w:rFonts w:ascii="Baskerville Old Face" w:eastAsia="Times New Roman" w:hAnsi="Baskerville Old Face" w:cs="Lucida Sans Unicode"/>
          <w:sz w:val="28"/>
          <w:szCs w:val="28"/>
          <w:lang w:eastAsia="it-IT"/>
        </w:rPr>
        <w:br/>
        <w:t xml:space="preserve">Per la gran parte dei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una proposta progettuale deve essere presentata da un </w:t>
      </w:r>
      <w:r w:rsidRPr="00382CC8">
        <w:rPr>
          <w:rFonts w:ascii="Baskerville Old Face" w:eastAsia="Times New Roman" w:hAnsi="Baskerville Old Face" w:cs="Lucida Sans Unicode"/>
          <w:b/>
          <w:bCs/>
          <w:sz w:val="28"/>
          <w:szCs w:val="28"/>
          <w:lang w:eastAsia="it-IT"/>
        </w:rPr>
        <w:t>partenariato</w:t>
      </w:r>
      <w:r w:rsidRPr="00382CC8">
        <w:rPr>
          <w:rFonts w:ascii="Baskerville Old Face" w:eastAsia="Times New Roman" w:hAnsi="Baskerville Old Face" w:cs="Lucida Sans Unicode"/>
          <w:sz w:val="28"/>
          <w:szCs w:val="28"/>
          <w:lang w:eastAsia="it-IT"/>
        </w:rPr>
        <w:t> di almeno </w:t>
      </w:r>
      <w:r w:rsidRPr="00382CC8">
        <w:rPr>
          <w:rFonts w:ascii="Baskerville Old Face" w:eastAsia="Times New Roman" w:hAnsi="Baskerville Old Face" w:cs="Lucida Sans Unicode"/>
          <w:b/>
          <w:bCs/>
          <w:sz w:val="28"/>
          <w:szCs w:val="28"/>
          <w:lang w:eastAsia="it-IT"/>
        </w:rPr>
        <w:t>3 beneficiari di 3 diversi Stati ammissibili</w:t>
      </w:r>
      <w:r w:rsidRPr="00382CC8">
        <w:rPr>
          <w:rFonts w:ascii="Baskerville Old Face" w:eastAsia="Times New Roman" w:hAnsi="Baskerville Old Face" w:cs="Lucida Sans Unicode"/>
          <w:sz w:val="28"/>
          <w:szCs w:val="28"/>
          <w:lang w:eastAsia="it-IT"/>
        </w:rPr>
        <w:t xml:space="preserve">. Fanno eccezione i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LIFE-2022-CET-COMPLIANCE, LIFE-2022-CET-BUILDSKILLS, LIFE-</w:t>
      </w:r>
      <w:r w:rsidRPr="00382CC8">
        <w:rPr>
          <w:rFonts w:ascii="Baskerville Old Face" w:eastAsia="Times New Roman" w:hAnsi="Baskerville Old Face" w:cs="Lucida Sans Unicode"/>
          <w:sz w:val="28"/>
          <w:szCs w:val="28"/>
          <w:lang w:eastAsia="it-IT"/>
        </w:rPr>
        <w:lastRenderedPageBreak/>
        <w:t>2022-CET-FINROUND, LIFE-2022-CET-HOMERENO, LIFE-2022-CET-RENOPUB and LIFE-2022-CET-PDA per i quali una proposta progettuale può essere presentata dal </w:t>
      </w:r>
      <w:r w:rsidRPr="00382CC8">
        <w:rPr>
          <w:rFonts w:ascii="Baskerville Old Face" w:eastAsia="Times New Roman" w:hAnsi="Baskerville Old Face" w:cs="Lucida Sans Unicode"/>
          <w:b/>
          <w:bCs/>
          <w:sz w:val="28"/>
          <w:szCs w:val="28"/>
          <w:lang w:eastAsia="it-IT"/>
        </w:rPr>
        <w:t>solo proponente</w:t>
      </w:r>
    </w:p>
    <w:p w14:paraId="327C1785"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Entità Contributo</w:t>
      </w:r>
    </w:p>
    <w:p w14:paraId="5D9F0615"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Il contributo UE può coprire fio al </w:t>
      </w:r>
      <w:r w:rsidRPr="00382CC8">
        <w:rPr>
          <w:rFonts w:ascii="Baskerville Old Face" w:eastAsia="Times New Roman" w:hAnsi="Baskerville Old Face" w:cs="Lucida Sans Unicode"/>
          <w:b/>
          <w:bCs/>
          <w:sz w:val="28"/>
          <w:szCs w:val="28"/>
          <w:lang w:eastAsia="it-IT"/>
        </w:rPr>
        <w:t>95%</w:t>
      </w:r>
      <w:r w:rsidRPr="00382CC8">
        <w:rPr>
          <w:rFonts w:ascii="Baskerville Old Face" w:eastAsia="Times New Roman" w:hAnsi="Baskerville Old Face" w:cs="Lucida Sans Unicode"/>
          <w:sz w:val="28"/>
          <w:szCs w:val="28"/>
          <w:lang w:eastAsia="it-IT"/>
        </w:rPr>
        <w:t xml:space="preserve"> dei costi del progetto, per un valore massimo pari al budget assegnato al </w:t>
      </w:r>
      <w:proofErr w:type="spellStart"/>
      <w:r w:rsidRPr="00382CC8">
        <w:rPr>
          <w:rFonts w:ascii="Baskerville Old Face" w:eastAsia="Times New Roman" w:hAnsi="Baskerville Old Face" w:cs="Lucida Sans Unicode"/>
          <w:sz w:val="28"/>
          <w:szCs w:val="28"/>
          <w:lang w:eastAsia="it-IT"/>
        </w:rPr>
        <w:t>topic</w:t>
      </w:r>
      <w:proofErr w:type="spellEnd"/>
    </w:p>
    <w:p w14:paraId="38B93962"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Modalità e procedura</w:t>
      </w:r>
    </w:p>
    <w:p w14:paraId="34DB31B4"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Ognuno dei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prevede documentazione specifica per la presentazione di una proposta progettuale.</w:t>
      </w:r>
    </w:p>
    <w:p w14:paraId="580E9CB5"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Oltre alla documentazione ufficiale di riferimento CINEA ha organizzato dei </w:t>
      </w:r>
      <w:hyperlink r:id="rId8" w:history="1">
        <w:r w:rsidRPr="00382CC8">
          <w:rPr>
            <w:rFonts w:ascii="Baskerville Old Face" w:eastAsia="Times New Roman" w:hAnsi="Baskerville Old Face" w:cs="Lucida Sans Unicode"/>
            <w:sz w:val="28"/>
            <w:szCs w:val="28"/>
            <w:u w:val="single"/>
            <w:lang w:eastAsia="it-IT"/>
          </w:rPr>
          <w:t>webinar </w:t>
        </w:r>
      </w:hyperlink>
      <w:r w:rsidRPr="00382CC8">
        <w:rPr>
          <w:rFonts w:ascii="Baskerville Old Face" w:eastAsia="Times New Roman" w:hAnsi="Baskerville Old Face" w:cs="Lucida Sans Unicode"/>
          <w:sz w:val="28"/>
          <w:szCs w:val="28"/>
          <w:lang w:eastAsia="it-IT"/>
        </w:rPr>
        <w:t>(nei giorni </w:t>
      </w:r>
      <w:r w:rsidRPr="00382CC8">
        <w:rPr>
          <w:rFonts w:ascii="Baskerville Old Face" w:eastAsia="Times New Roman" w:hAnsi="Baskerville Old Face" w:cs="Lucida Sans Unicode"/>
          <w:b/>
          <w:bCs/>
          <w:sz w:val="28"/>
          <w:szCs w:val="28"/>
          <w:lang w:eastAsia="it-IT"/>
        </w:rPr>
        <w:t>18-20 maggio</w:t>
      </w:r>
      <w:r w:rsidRPr="00382CC8">
        <w:rPr>
          <w:rFonts w:ascii="Baskerville Old Face" w:eastAsia="Times New Roman" w:hAnsi="Baskerville Old Face" w:cs="Lucida Sans Unicode"/>
          <w:sz w:val="28"/>
          <w:szCs w:val="28"/>
          <w:lang w:eastAsia="it-IT"/>
        </w:rPr>
        <w:t>) e della documentazione di approfondimento dedicata ai potenziali proponenti per illustrare i contenuti del bando, disponibile sulla pagina web di riferimento (le registrazioni delle diverse sessioni dei webinar saranno disponibili dopo il 20 maggio).</w:t>
      </w:r>
    </w:p>
    <w:p w14:paraId="439EAF2F"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Scadenza</w:t>
      </w:r>
    </w:p>
    <w:p w14:paraId="39B37956"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sz w:val="28"/>
          <w:szCs w:val="28"/>
          <w:lang w:eastAsia="it-IT"/>
        </w:rPr>
        <w:t>16 novembre 2022</w:t>
      </w:r>
      <w:r w:rsidRPr="00382CC8">
        <w:rPr>
          <w:rFonts w:ascii="Baskerville Old Face" w:eastAsia="Times New Roman" w:hAnsi="Baskerville Old Face" w:cs="Lucida Sans Unicode"/>
          <w:sz w:val="28"/>
          <w:szCs w:val="28"/>
          <w:lang w:eastAsia="it-IT"/>
        </w:rPr>
        <w:t>, ore 17</w:t>
      </w:r>
      <w:r w:rsidRPr="00382CC8">
        <w:rPr>
          <w:rFonts w:ascii="Baskerville Old Face" w:eastAsia="Times New Roman" w:hAnsi="Baskerville Old Face" w:cs="Lucida Sans Unicode"/>
          <w:b/>
          <w:bCs/>
          <w:sz w:val="28"/>
          <w:szCs w:val="28"/>
          <w:lang w:eastAsia="it-IT"/>
        </w:rPr>
        <w:t> </w:t>
      </w:r>
      <w:r w:rsidRPr="00382CC8">
        <w:rPr>
          <w:rFonts w:ascii="Baskerville Old Face" w:eastAsia="Times New Roman" w:hAnsi="Baskerville Old Face" w:cs="Lucida Sans Unicode"/>
          <w:sz w:val="28"/>
          <w:szCs w:val="28"/>
          <w:lang w:eastAsia="it-IT"/>
        </w:rPr>
        <w:t>(ora di Bruxelles)</w:t>
      </w:r>
    </w:p>
    <w:p w14:paraId="35B02B38" w14:textId="77777777" w:rsidR="00382CC8" w:rsidRPr="00382CC8" w:rsidRDefault="00382CC8" w:rsidP="00382CC8">
      <w:pPr>
        <w:shd w:val="clear" w:color="auto" w:fill="FFFFFF"/>
        <w:spacing w:after="180" w:line="360" w:lineRule="atLeast"/>
        <w:jc w:val="center"/>
        <w:rPr>
          <w:rFonts w:ascii="Baskerville Old Face" w:eastAsia="Times New Roman" w:hAnsi="Baskerville Old Face" w:cs="Lucida Sans Unicode"/>
          <w:b/>
          <w:bCs/>
          <w:sz w:val="28"/>
          <w:szCs w:val="28"/>
          <w:lang w:eastAsia="it-IT"/>
        </w:rPr>
      </w:pPr>
      <w:r w:rsidRPr="00382CC8">
        <w:rPr>
          <w:rFonts w:ascii="Baskerville Old Face" w:eastAsia="Times New Roman" w:hAnsi="Baskerville Old Face" w:cs="Lucida Sans Unicode"/>
          <w:b/>
          <w:bCs/>
          <w:sz w:val="28"/>
          <w:szCs w:val="28"/>
          <w:lang w:eastAsia="it-IT"/>
        </w:rPr>
        <w:t>LIFE 2021-2027 – Economia circolare e qualità della vita: bando 2022 per progetti d’azione standard (SAP)</w:t>
      </w:r>
    </w:p>
    <w:p w14:paraId="4276E2E1"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Titolo</w:t>
      </w:r>
    </w:p>
    <w:p w14:paraId="65EA9BEA" w14:textId="77777777" w:rsidR="00382CC8" w:rsidRPr="00382CC8" w:rsidRDefault="00382CC8" w:rsidP="00382CC8">
      <w:pPr>
        <w:shd w:val="clear" w:color="auto" w:fill="FFFFFF"/>
        <w:spacing w:after="0" w:line="240" w:lineRule="auto"/>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sz w:val="28"/>
          <w:szCs w:val="28"/>
          <w:lang w:eastAsia="it-IT"/>
        </w:rPr>
        <w:t>Circular</w:t>
      </w:r>
      <w:proofErr w:type="spellEnd"/>
      <w:r w:rsidRPr="00382CC8">
        <w:rPr>
          <w:rFonts w:ascii="Baskerville Old Face" w:eastAsia="Times New Roman" w:hAnsi="Baskerville Old Face" w:cs="Lucida Sans Unicode"/>
          <w:sz w:val="28"/>
          <w:szCs w:val="28"/>
          <w:lang w:eastAsia="it-IT"/>
        </w:rPr>
        <w:t xml:space="preserve"> Economy and Quality of Life - Standard Action Projects (SAP)</w:t>
      </w:r>
    </w:p>
    <w:p w14:paraId="746C5977"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Oggetto</w:t>
      </w:r>
    </w:p>
    <w:p w14:paraId="7BB114ED"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Bando per </w:t>
      </w:r>
      <w:r w:rsidRPr="00382CC8">
        <w:rPr>
          <w:rFonts w:ascii="Baskerville Old Face" w:eastAsia="Times New Roman" w:hAnsi="Baskerville Old Face" w:cs="Lucida Sans Unicode"/>
          <w:b/>
          <w:bCs/>
          <w:sz w:val="28"/>
          <w:szCs w:val="28"/>
          <w:lang w:eastAsia="it-IT"/>
        </w:rPr>
        <w:t>progetti d'azione standard</w:t>
      </w:r>
      <w:r w:rsidRPr="00382CC8">
        <w:rPr>
          <w:rFonts w:ascii="Baskerville Old Face" w:eastAsia="Times New Roman" w:hAnsi="Baskerville Old Face" w:cs="Lucida Sans Unicode"/>
          <w:sz w:val="28"/>
          <w:szCs w:val="28"/>
          <w:lang w:eastAsia="it-IT"/>
        </w:rPr>
        <w:t> nel quadro del </w:t>
      </w:r>
      <w:r w:rsidRPr="00382CC8">
        <w:rPr>
          <w:rFonts w:ascii="Baskerville Old Face" w:eastAsia="Times New Roman" w:hAnsi="Baskerville Old Face" w:cs="Lucida Sans Unicode"/>
          <w:b/>
          <w:bCs/>
          <w:sz w:val="28"/>
          <w:szCs w:val="28"/>
          <w:lang w:eastAsia="it-IT"/>
        </w:rPr>
        <w:t>sottoprogramma Ambiente e qualità della vita</w:t>
      </w:r>
      <w:r w:rsidRPr="00382CC8">
        <w:rPr>
          <w:rFonts w:ascii="Baskerville Old Face" w:eastAsia="Times New Roman" w:hAnsi="Baskerville Old Face" w:cs="Lucida Sans Unicode"/>
          <w:sz w:val="28"/>
          <w:szCs w:val="28"/>
          <w:lang w:eastAsia="it-IT"/>
        </w:rPr>
        <w:t> del programma LIFE.</w:t>
      </w:r>
    </w:p>
    <w:p w14:paraId="537CBB1D"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 progetti d'azione standard corrispondono ai progetti “tradizionali” della precedente programmazione di Life e hanno l'intento di:</w:t>
      </w:r>
      <w:r w:rsidRPr="00382CC8">
        <w:rPr>
          <w:rFonts w:ascii="Baskerville Old Face" w:eastAsia="Times New Roman" w:hAnsi="Baskerville Old Face" w:cs="Lucida Sans Unicode"/>
          <w:sz w:val="28"/>
          <w:szCs w:val="28"/>
          <w:lang w:eastAsia="it-IT"/>
        </w:rPr>
        <w:br/>
        <w:t>- sviluppare, dimostrare e promuovere </w:t>
      </w:r>
      <w:r w:rsidRPr="00382CC8">
        <w:rPr>
          <w:rFonts w:ascii="Baskerville Old Face" w:eastAsia="Times New Roman" w:hAnsi="Baskerville Old Face" w:cs="Lucida Sans Unicode"/>
          <w:b/>
          <w:bCs/>
          <w:sz w:val="28"/>
          <w:szCs w:val="28"/>
          <w:lang w:eastAsia="it-IT"/>
        </w:rPr>
        <w:t>tecniche, metodi e approcci innovativi</w:t>
      </w:r>
      <w:r w:rsidRPr="00382CC8">
        <w:rPr>
          <w:rFonts w:ascii="Baskerville Old Face" w:eastAsia="Times New Roman" w:hAnsi="Baskerville Old Face" w:cs="Lucida Sans Unicode"/>
          <w:sz w:val="28"/>
          <w:szCs w:val="28"/>
          <w:lang w:eastAsia="it-IT"/>
        </w:rPr>
        <w:t> (ovvero soluzioni nuove rispetto allo stato dell'arte a livello di Stato membro/di settore e che sono attuate su scala operativa e in condizioni da consentire un impatto significativo (si veda il criterio di valutazione "impatto");</w:t>
      </w:r>
    </w:p>
    <w:p w14:paraId="73231A7A"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contribuire alla base di conoscenza e all'applicazione delle </w:t>
      </w:r>
      <w:r w:rsidRPr="00382CC8">
        <w:rPr>
          <w:rFonts w:ascii="Baskerville Old Face" w:eastAsia="Times New Roman" w:hAnsi="Baskerville Old Face" w:cs="Lucida Sans Unicode"/>
          <w:b/>
          <w:bCs/>
          <w:sz w:val="28"/>
          <w:szCs w:val="28"/>
          <w:lang w:eastAsia="it-IT"/>
        </w:rPr>
        <w:t>migliori pratiche</w:t>
      </w:r>
      <w:r w:rsidRPr="00382CC8">
        <w:rPr>
          <w:rFonts w:ascii="Baskerville Old Face" w:eastAsia="Times New Roman" w:hAnsi="Baskerville Old Face" w:cs="Lucida Sans Unicode"/>
          <w:sz w:val="28"/>
          <w:szCs w:val="28"/>
          <w:lang w:eastAsia="it-IT"/>
        </w:rPr>
        <w:t>, definizione che comprende soluzioni, tecniche, metodi e approcci appropriati, efficienti e all'avanguardia (a livello di Stato membro/di settore), attuate su scala operativa e in condizioni da consentire un impatto significativo (si veda il criterio di valutazione "impatto");</w:t>
      </w:r>
    </w:p>
    <w:p w14:paraId="24BBBD72"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lastRenderedPageBreak/>
        <w:t>- sostenere lo sviluppo, l'attuazione, il monitoraggio e l'applicazione </w:t>
      </w:r>
      <w:r w:rsidRPr="00382CC8">
        <w:rPr>
          <w:rFonts w:ascii="Baskerville Old Face" w:eastAsia="Times New Roman" w:hAnsi="Baskerville Old Face" w:cs="Lucida Sans Unicode"/>
          <w:b/>
          <w:bCs/>
          <w:sz w:val="28"/>
          <w:szCs w:val="28"/>
          <w:lang w:eastAsia="it-IT"/>
        </w:rPr>
        <w:t>della legislazione e della politica dell'UE</w:t>
      </w:r>
      <w:r w:rsidRPr="00382CC8">
        <w:rPr>
          <w:rFonts w:ascii="Baskerville Old Face" w:eastAsia="Times New Roman" w:hAnsi="Baskerville Old Face" w:cs="Lucida Sans Unicode"/>
          <w:sz w:val="28"/>
          <w:szCs w:val="28"/>
          <w:lang w:eastAsia="it-IT"/>
        </w:rPr>
        <w:t>, anche migliorando la governance a tutti i livelli, in particolare rafforzando le capacità degli attori pubblici e privati e il coinvolgimento della società civile;</w:t>
      </w:r>
    </w:p>
    <w:p w14:paraId="515F9375"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w:t>
      </w:r>
      <w:r w:rsidRPr="00382CC8">
        <w:rPr>
          <w:rFonts w:ascii="Baskerville Old Face" w:eastAsia="Times New Roman" w:hAnsi="Baskerville Old Face" w:cs="Lucida Sans Unicode"/>
          <w:b/>
          <w:bCs/>
          <w:sz w:val="28"/>
          <w:szCs w:val="28"/>
          <w:lang w:eastAsia="it-IT"/>
        </w:rPr>
        <w:t>catalizzare la diffusione su larga scala di soluzioni tecniche e politiche di successo</w:t>
      </w:r>
      <w:r w:rsidRPr="00382CC8">
        <w:rPr>
          <w:rFonts w:ascii="Baskerville Old Face" w:eastAsia="Times New Roman" w:hAnsi="Baskerville Old Face" w:cs="Lucida Sans Unicode"/>
          <w:sz w:val="28"/>
          <w:szCs w:val="28"/>
          <w:lang w:eastAsia="it-IT"/>
        </w:rPr>
        <w:t> per l'attuazione della legislazione e della politica dell'UE, replicando i risultati, integrando gli obiettivi correlati in altre politiche e nelle pratiche del settore pubblico e privato, mobilitando investimenti e migliorando l'accesso ai finanziamenti</w:t>
      </w:r>
    </w:p>
    <w:p w14:paraId="5AA8CF90"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 progetti possono essere vicini al mercato, ossia mirare non solo a fornire soluzioni ambientali migliori, ma anche a garantire che tali soluzioni siano ampiamente adottate dalla società in generale e, più in particolare, dall'economia attraverso un esplicito approccio orientato al mercato (per progetti di questo tipo i proponenti dovranno evidenziare questo aspetto nella proposta progettuale).</w:t>
      </w:r>
    </w:p>
    <w:p w14:paraId="192F9BE9"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Fonte</w:t>
      </w:r>
    </w:p>
    <w:p w14:paraId="527CEFE4" w14:textId="77777777" w:rsidR="00382CC8" w:rsidRPr="00382CC8" w:rsidRDefault="00382CC8" w:rsidP="00382CC8">
      <w:pPr>
        <w:shd w:val="clear" w:color="auto" w:fill="FFFFFF"/>
        <w:spacing w:after="0" w:line="240" w:lineRule="auto"/>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Commissione europea - Funding &amp; Tender Portal LIFE-2022-SAP-ENV del 17/5/2022</w:t>
      </w:r>
    </w:p>
    <w:p w14:paraId="1E0BEB27"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Ente Erogatore</w:t>
      </w:r>
    </w:p>
    <w:p w14:paraId="4A48EB2B"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Commissione europea</w:t>
      </w:r>
    </w:p>
    <w:p w14:paraId="6A72ACB5"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Obiettivo</w:t>
      </w:r>
    </w:p>
    <w:p w14:paraId="4C587EA9"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Il sottoprogramma Economia circolare e qualità della vita mira a facilitare la transizione verso un'economia sostenibile, circolare, priva di sostanze tossiche, efficiente dal punto di vista energetico e resiliente al clima e a proteggere, ripristinare e migliorare la qualità dell'ambiente.</w:t>
      </w:r>
    </w:p>
    <w:p w14:paraId="79FFEA3D"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Azioni</w:t>
      </w:r>
    </w:p>
    <w:p w14:paraId="69CA25FC"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Il bando comprende 2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(una proposta progettuale deve riguardare un solo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e al suo interno uno o più settori/temi).</w:t>
      </w:r>
    </w:p>
    <w:p w14:paraId="0B203042"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b/>
          <w:bCs/>
          <w:sz w:val="28"/>
          <w:szCs w:val="28"/>
          <w:lang w:eastAsia="it-IT"/>
        </w:rPr>
        <w:t>Topic</w:t>
      </w:r>
      <w:proofErr w:type="spellEnd"/>
      <w:r w:rsidRPr="00382CC8">
        <w:rPr>
          <w:rFonts w:ascii="Baskerville Old Face" w:eastAsia="Times New Roman" w:hAnsi="Baskerville Old Face" w:cs="Lucida Sans Unicode"/>
          <w:b/>
          <w:bCs/>
          <w:sz w:val="28"/>
          <w:szCs w:val="28"/>
          <w:lang w:eastAsia="it-IT"/>
        </w:rPr>
        <w:t xml:space="preserve"> 1 - </w:t>
      </w:r>
      <w:proofErr w:type="spellStart"/>
      <w:r w:rsidRPr="00382CC8">
        <w:rPr>
          <w:rFonts w:ascii="Baskerville Old Face" w:eastAsia="Times New Roman" w:hAnsi="Baskerville Old Face" w:cs="Lucida Sans Unicode"/>
          <w:b/>
          <w:bCs/>
          <w:sz w:val="28"/>
          <w:szCs w:val="28"/>
          <w:lang w:eastAsia="it-IT"/>
        </w:rPr>
        <w:t>Circular</w:t>
      </w:r>
      <w:proofErr w:type="spellEnd"/>
      <w:r w:rsidRPr="00382CC8">
        <w:rPr>
          <w:rFonts w:ascii="Baskerville Old Face" w:eastAsia="Times New Roman" w:hAnsi="Baskerville Old Face" w:cs="Lucida Sans Unicode"/>
          <w:b/>
          <w:bCs/>
          <w:sz w:val="28"/>
          <w:szCs w:val="28"/>
          <w:lang w:eastAsia="it-IT"/>
        </w:rPr>
        <w:t xml:space="preserve"> Economy, </w:t>
      </w:r>
      <w:proofErr w:type="spellStart"/>
      <w:r w:rsidRPr="00382CC8">
        <w:rPr>
          <w:rFonts w:ascii="Baskerville Old Face" w:eastAsia="Times New Roman" w:hAnsi="Baskerville Old Face" w:cs="Lucida Sans Unicode"/>
          <w:b/>
          <w:bCs/>
          <w:sz w:val="28"/>
          <w:szCs w:val="28"/>
          <w:lang w:eastAsia="it-IT"/>
        </w:rPr>
        <w:t>resources</w:t>
      </w:r>
      <w:proofErr w:type="spellEnd"/>
      <w:r w:rsidRPr="00382CC8">
        <w:rPr>
          <w:rFonts w:ascii="Baskerville Old Face" w:eastAsia="Times New Roman" w:hAnsi="Baskerville Old Face" w:cs="Lucida Sans Unicode"/>
          <w:b/>
          <w:bCs/>
          <w:sz w:val="28"/>
          <w:szCs w:val="28"/>
          <w:lang w:eastAsia="it-IT"/>
        </w:rPr>
        <w:t xml:space="preserve"> from Waste, Air, Water, </w:t>
      </w:r>
      <w:proofErr w:type="spellStart"/>
      <w:r w:rsidRPr="00382CC8">
        <w:rPr>
          <w:rFonts w:ascii="Baskerville Old Face" w:eastAsia="Times New Roman" w:hAnsi="Baskerville Old Face" w:cs="Lucida Sans Unicode"/>
          <w:b/>
          <w:bCs/>
          <w:sz w:val="28"/>
          <w:szCs w:val="28"/>
          <w:lang w:eastAsia="it-IT"/>
        </w:rPr>
        <w:t>Soil</w:t>
      </w:r>
      <w:proofErr w:type="spellEnd"/>
      <w:r w:rsidRPr="00382CC8">
        <w:rPr>
          <w:rFonts w:ascii="Baskerville Old Face" w:eastAsia="Times New Roman" w:hAnsi="Baskerville Old Face" w:cs="Lucida Sans Unicode"/>
          <w:b/>
          <w:bCs/>
          <w:sz w:val="28"/>
          <w:szCs w:val="28"/>
          <w:lang w:eastAsia="it-IT"/>
        </w:rPr>
        <w:t xml:space="preserve">, </w:t>
      </w:r>
      <w:proofErr w:type="spellStart"/>
      <w:r w:rsidRPr="00382CC8">
        <w:rPr>
          <w:rFonts w:ascii="Baskerville Old Face" w:eastAsia="Times New Roman" w:hAnsi="Baskerville Old Face" w:cs="Lucida Sans Unicode"/>
          <w:b/>
          <w:bCs/>
          <w:sz w:val="28"/>
          <w:szCs w:val="28"/>
          <w:lang w:eastAsia="it-IT"/>
        </w:rPr>
        <w:t>Noise</w:t>
      </w:r>
      <w:proofErr w:type="spellEnd"/>
      <w:r w:rsidRPr="00382CC8">
        <w:rPr>
          <w:rFonts w:ascii="Baskerville Old Face" w:eastAsia="Times New Roman" w:hAnsi="Baskerville Old Face" w:cs="Lucida Sans Unicode"/>
          <w:b/>
          <w:bCs/>
          <w:sz w:val="28"/>
          <w:szCs w:val="28"/>
          <w:lang w:eastAsia="it-IT"/>
        </w:rPr>
        <w:t xml:space="preserve">, </w:t>
      </w:r>
      <w:proofErr w:type="spellStart"/>
      <w:r w:rsidRPr="00382CC8">
        <w:rPr>
          <w:rFonts w:ascii="Baskerville Old Face" w:eastAsia="Times New Roman" w:hAnsi="Baskerville Old Face" w:cs="Lucida Sans Unicode"/>
          <w:b/>
          <w:bCs/>
          <w:sz w:val="28"/>
          <w:szCs w:val="28"/>
          <w:lang w:eastAsia="it-IT"/>
        </w:rPr>
        <w:t>Chemicals</w:t>
      </w:r>
      <w:proofErr w:type="spellEnd"/>
      <w:r w:rsidRPr="00382CC8">
        <w:rPr>
          <w:rFonts w:ascii="Baskerville Old Face" w:eastAsia="Times New Roman" w:hAnsi="Baskerville Old Face" w:cs="Lucida Sans Unicode"/>
          <w:b/>
          <w:bCs/>
          <w:sz w:val="28"/>
          <w:szCs w:val="28"/>
          <w:lang w:eastAsia="it-IT"/>
        </w:rPr>
        <w:t>, Bauhaus (ID: LIFE-2021-SAP-ENV-ENVIRONMENT)</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i/>
          <w:iCs/>
          <w:sz w:val="28"/>
          <w:szCs w:val="28"/>
          <w:lang w:eastAsia="it-IT"/>
        </w:rPr>
        <w:t>Settori</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b/>
          <w:bCs/>
          <w:i/>
          <w:iCs/>
          <w:sz w:val="28"/>
          <w:szCs w:val="28"/>
          <w:lang w:eastAsia="it-IT"/>
        </w:rPr>
        <w:t>1. Economia circolare e rifiuti</w:t>
      </w:r>
      <w:r w:rsidRPr="00382CC8">
        <w:rPr>
          <w:rFonts w:ascii="Baskerville Old Face" w:eastAsia="Times New Roman" w:hAnsi="Baskerville Old Face" w:cs="Lucida Sans Unicode"/>
          <w:sz w:val="28"/>
          <w:szCs w:val="28"/>
          <w:lang w:eastAsia="it-IT"/>
        </w:rPr>
        <w:br/>
        <w:t>1.1 Recupero di risorse dai rifiuti</w:t>
      </w:r>
      <w:r w:rsidRPr="00382CC8">
        <w:rPr>
          <w:rFonts w:ascii="Baskerville Old Face" w:eastAsia="Times New Roman" w:hAnsi="Baskerville Old Face" w:cs="Lucida Sans Unicode"/>
          <w:sz w:val="28"/>
          <w:szCs w:val="28"/>
          <w:lang w:eastAsia="it-IT"/>
        </w:rPr>
        <w:br/>
        <w:t>1.2 Economia circolare e ambiente</w:t>
      </w:r>
    </w:p>
    <w:p w14:paraId="6CE8032E"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i/>
          <w:iCs/>
          <w:sz w:val="28"/>
          <w:szCs w:val="28"/>
          <w:lang w:eastAsia="it-IT"/>
        </w:rPr>
        <w:t>2. Aria</w:t>
      </w:r>
      <w:r w:rsidRPr="00382CC8">
        <w:rPr>
          <w:rFonts w:ascii="Baskerville Old Face" w:eastAsia="Times New Roman" w:hAnsi="Baskerville Old Face" w:cs="Lucida Sans Unicode"/>
          <w:sz w:val="28"/>
          <w:szCs w:val="28"/>
          <w:lang w:eastAsia="it-IT"/>
        </w:rPr>
        <w:br/>
        <w:t>2.1 Legislazione sulla qualità dell’aria e direttiva NEC (Limiti emissioni nazionali)</w:t>
      </w:r>
      <w:r w:rsidRPr="00382CC8">
        <w:rPr>
          <w:rFonts w:ascii="Baskerville Old Face" w:eastAsia="Times New Roman" w:hAnsi="Baskerville Old Face" w:cs="Lucida Sans Unicode"/>
          <w:sz w:val="28"/>
          <w:szCs w:val="28"/>
          <w:lang w:eastAsia="it-IT"/>
        </w:rPr>
        <w:br/>
        <w:t>2.2 Direttiva sulle emissioni industriali</w:t>
      </w:r>
    </w:p>
    <w:p w14:paraId="1BCEE630"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i/>
          <w:iCs/>
          <w:sz w:val="28"/>
          <w:szCs w:val="28"/>
          <w:lang w:eastAsia="it-IT"/>
        </w:rPr>
        <w:lastRenderedPageBreak/>
        <w:t>3. Acqua</w:t>
      </w:r>
      <w:r w:rsidRPr="00382CC8">
        <w:rPr>
          <w:rFonts w:ascii="Baskerville Old Face" w:eastAsia="Times New Roman" w:hAnsi="Baskerville Old Face" w:cs="Lucida Sans Unicode"/>
          <w:sz w:val="28"/>
          <w:szCs w:val="28"/>
          <w:lang w:eastAsia="it-IT"/>
        </w:rPr>
        <w:br/>
        <w:t>3.1. Quantità e qualità dell’acqua</w:t>
      </w:r>
      <w:r w:rsidRPr="00382CC8">
        <w:rPr>
          <w:rFonts w:ascii="Baskerville Old Face" w:eastAsia="Times New Roman" w:hAnsi="Baskerville Old Face" w:cs="Lucida Sans Unicode"/>
          <w:sz w:val="28"/>
          <w:szCs w:val="28"/>
          <w:lang w:eastAsia="it-IT"/>
        </w:rPr>
        <w:br/>
        <w:t>3.2. Gestione delle acque marittime e costiere</w:t>
      </w:r>
      <w:r w:rsidRPr="00382CC8">
        <w:rPr>
          <w:rFonts w:ascii="Baskerville Old Face" w:eastAsia="Times New Roman" w:hAnsi="Baskerville Old Face" w:cs="Lucida Sans Unicode"/>
          <w:sz w:val="28"/>
          <w:szCs w:val="28"/>
          <w:lang w:eastAsia="it-IT"/>
        </w:rPr>
        <w:br/>
        <w:t>3.3. Servizi idrici</w:t>
      </w:r>
    </w:p>
    <w:p w14:paraId="6B617742"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i/>
          <w:iCs/>
          <w:sz w:val="28"/>
          <w:szCs w:val="28"/>
          <w:lang w:eastAsia="it-IT"/>
        </w:rPr>
        <w:t>4. Suolo</w:t>
      </w:r>
    </w:p>
    <w:p w14:paraId="1529052F"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i/>
          <w:iCs/>
          <w:sz w:val="28"/>
          <w:szCs w:val="28"/>
          <w:lang w:eastAsia="it-IT"/>
        </w:rPr>
        <w:t>5. Rumore</w:t>
      </w:r>
    </w:p>
    <w:p w14:paraId="61B88642"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i/>
          <w:iCs/>
          <w:sz w:val="28"/>
          <w:szCs w:val="28"/>
          <w:lang w:eastAsia="it-IT"/>
        </w:rPr>
        <w:t>6. Prodotti chimici</w:t>
      </w:r>
    </w:p>
    <w:p w14:paraId="7F0375ED"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b/>
          <w:bCs/>
          <w:i/>
          <w:iCs/>
          <w:sz w:val="28"/>
          <w:szCs w:val="28"/>
          <w:lang w:eastAsia="it-IT"/>
        </w:rPr>
        <w:t>7. Un nuovo Bauhaus europeo</w:t>
      </w:r>
    </w:p>
    <w:p w14:paraId="42D01124"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w:t>
      </w:r>
    </w:p>
    <w:p w14:paraId="432E5849"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proofErr w:type="spellStart"/>
      <w:r w:rsidRPr="00382CC8">
        <w:rPr>
          <w:rFonts w:ascii="Baskerville Old Face" w:eastAsia="Times New Roman" w:hAnsi="Baskerville Old Face" w:cs="Lucida Sans Unicode"/>
          <w:b/>
          <w:bCs/>
          <w:sz w:val="28"/>
          <w:szCs w:val="28"/>
          <w:lang w:eastAsia="it-IT"/>
        </w:rPr>
        <w:t>Topic</w:t>
      </w:r>
      <w:proofErr w:type="spellEnd"/>
      <w:r w:rsidRPr="00382CC8">
        <w:rPr>
          <w:rFonts w:ascii="Baskerville Old Face" w:eastAsia="Times New Roman" w:hAnsi="Baskerville Old Face" w:cs="Lucida Sans Unicode"/>
          <w:b/>
          <w:bCs/>
          <w:sz w:val="28"/>
          <w:szCs w:val="28"/>
          <w:lang w:eastAsia="it-IT"/>
        </w:rPr>
        <w:t xml:space="preserve"> 2 - </w:t>
      </w:r>
      <w:proofErr w:type="spellStart"/>
      <w:r w:rsidRPr="00382CC8">
        <w:rPr>
          <w:rFonts w:ascii="Baskerville Old Face" w:eastAsia="Times New Roman" w:hAnsi="Baskerville Old Face" w:cs="Lucida Sans Unicode"/>
          <w:b/>
          <w:bCs/>
          <w:sz w:val="28"/>
          <w:szCs w:val="28"/>
          <w:lang w:eastAsia="it-IT"/>
        </w:rPr>
        <w:t>Environmental</w:t>
      </w:r>
      <w:proofErr w:type="spellEnd"/>
      <w:r w:rsidRPr="00382CC8">
        <w:rPr>
          <w:rFonts w:ascii="Baskerville Old Face" w:eastAsia="Times New Roman" w:hAnsi="Baskerville Old Face" w:cs="Lucida Sans Unicode"/>
          <w:b/>
          <w:bCs/>
          <w:sz w:val="28"/>
          <w:szCs w:val="28"/>
          <w:lang w:eastAsia="it-IT"/>
        </w:rPr>
        <w:t xml:space="preserve"> Governance (ID: LIFE-2021-SAP-ENV-GOV)</w:t>
      </w:r>
      <w:r w:rsidRPr="00382CC8">
        <w:rPr>
          <w:rFonts w:ascii="Baskerville Old Face" w:eastAsia="Times New Roman" w:hAnsi="Baskerville Old Face" w:cs="Lucida Sans Unicode"/>
          <w:sz w:val="28"/>
          <w:szCs w:val="28"/>
          <w:lang w:eastAsia="it-IT"/>
        </w:rPr>
        <w:br/>
      </w:r>
      <w:r w:rsidRPr="00382CC8">
        <w:rPr>
          <w:rFonts w:ascii="Baskerville Old Face" w:eastAsia="Times New Roman" w:hAnsi="Baskerville Old Face" w:cs="Lucida Sans Unicode"/>
          <w:i/>
          <w:iCs/>
          <w:sz w:val="28"/>
          <w:szCs w:val="28"/>
          <w:lang w:eastAsia="it-IT"/>
        </w:rPr>
        <w:t>Temi da coprire</w:t>
      </w:r>
      <w:r w:rsidRPr="00382CC8">
        <w:rPr>
          <w:rFonts w:ascii="Baskerville Old Face" w:eastAsia="Times New Roman" w:hAnsi="Baskerville Old Face" w:cs="Lucida Sans Unicode"/>
          <w:sz w:val="28"/>
          <w:szCs w:val="28"/>
          <w:lang w:eastAsia="it-IT"/>
        </w:rPr>
        <w:br/>
        <w:t>1. Attività a supporto del processo decisionale e degli approcci volontari delle pubbliche amministrazioni</w:t>
      </w:r>
      <w:r w:rsidRPr="00382CC8">
        <w:rPr>
          <w:rFonts w:ascii="Baskerville Old Face" w:eastAsia="Times New Roman" w:hAnsi="Baskerville Old Face" w:cs="Lucida Sans Unicode"/>
          <w:sz w:val="28"/>
          <w:szCs w:val="28"/>
          <w:lang w:eastAsia="it-IT"/>
        </w:rPr>
        <w:br/>
        <w:t>2. Garanzia di conformità ambientale e accesso alla giustizia</w:t>
      </w:r>
      <w:r w:rsidRPr="00382CC8">
        <w:rPr>
          <w:rFonts w:ascii="Baskerville Old Face" w:eastAsia="Times New Roman" w:hAnsi="Baskerville Old Face" w:cs="Lucida Sans Unicode"/>
          <w:sz w:val="28"/>
          <w:szCs w:val="28"/>
          <w:lang w:eastAsia="it-IT"/>
        </w:rPr>
        <w:br/>
        <w:t>3. Cambiamento comportamentale e iniziative di sensibilizzazione</w:t>
      </w:r>
    </w:p>
    <w:p w14:paraId="63FDC9ED"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I singoli settori/temi e le loro priorità sono dettagliati nel testo della call</w:t>
      </w:r>
    </w:p>
    <w:p w14:paraId="1A386809"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Beneficiari</w:t>
      </w:r>
    </w:p>
    <w:p w14:paraId="00FBDA12"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Persone giuridiche, pubbliche e private, stabilite in uno dei Paesi ammissibili a LIFE, ovvero Stati UE, compresi Paesi e territori d’oltremare, e alcuni altri paesi (l'elenco aggiornato è scaricabile </w:t>
      </w:r>
      <w:hyperlink r:id="rId9" w:history="1">
        <w:r w:rsidRPr="00382CC8">
          <w:rPr>
            <w:rFonts w:ascii="Baskerville Old Face" w:eastAsia="Times New Roman" w:hAnsi="Baskerville Old Face" w:cs="Lucida Sans Unicode"/>
            <w:sz w:val="28"/>
            <w:szCs w:val="28"/>
            <w:u w:val="single"/>
            <w:lang w:eastAsia="it-IT"/>
          </w:rPr>
          <w:t>qui</w:t>
        </w:r>
      </w:hyperlink>
      <w:r w:rsidRPr="00382CC8">
        <w:rPr>
          <w:rFonts w:ascii="Baskerville Old Face" w:eastAsia="Times New Roman" w:hAnsi="Baskerville Old Face" w:cs="Lucida Sans Unicode"/>
          <w:sz w:val="28"/>
          <w:szCs w:val="28"/>
          <w:lang w:eastAsia="it-IT"/>
        </w:rPr>
        <w:t>); organizzazioni internazionali.</w:t>
      </w:r>
    </w:p>
    <w:p w14:paraId="58E98BE0"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Entità Contributo</w:t>
      </w:r>
    </w:p>
    <w:p w14:paraId="12A7F814"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Per entrambi i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il contributo UE può coprire fino al </w:t>
      </w:r>
      <w:r w:rsidRPr="00382CC8">
        <w:rPr>
          <w:rFonts w:ascii="Baskerville Old Face" w:eastAsia="Times New Roman" w:hAnsi="Baskerville Old Face" w:cs="Lucida Sans Unicode"/>
          <w:b/>
          <w:bCs/>
          <w:sz w:val="28"/>
          <w:szCs w:val="28"/>
          <w:lang w:eastAsia="it-IT"/>
        </w:rPr>
        <w:t>60%</w:t>
      </w:r>
      <w:r w:rsidRPr="00382CC8">
        <w:rPr>
          <w:rFonts w:ascii="Baskerville Old Face" w:eastAsia="Times New Roman" w:hAnsi="Baskerville Old Face" w:cs="Lucida Sans Unicode"/>
          <w:sz w:val="28"/>
          <w:szCs w:val="28"/>
          <w:lang w:eastAsia="it-IT"/>
        </w:rPr>
        <w:t xml:space="preserve"> dei costi del </w:t>
      </w:r>
      <w:proofErr w:type="gramStart"/>
      <w:r w:rsidRPr="00382CC8">
        <w:rPr>
          <w:rFonts w:ascii="Baskerville Old Face" w:eastAsia="Times New Roman" w:hAnsi="Baskerville Old Face" w:cs="Lucida Sans Unicode"/>
          <w:sz w:val="28"/>
          <w:szCs w:val="28"/>
          <w:lang w:eastAsia="it-IT"/>
        </w:rPr>
        <w:t>progetto .</w:t>
      </w:r>
      <w:proofErr w:type="gramEnd"/>
    </w:p>
    <w:p w14:paraId="50E4E531"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Per il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LIFE-2021-SAP-ENV-ENVIRONMENT il budget complessivo del progetto deve essere compreso fra </w:t>
      </w:r>
      <w:r w:rsidRPr="00382CC8">
        <w:rPr>
          <w:rFonts w:ascii="Baskerville Old Face" w:eastAsia="Times New Roman" w:hAnsi="Baskerville Old Face" w:cs="Lucida Sans Unicode"/>
          <w:b/>
          <w:bCs/>
          <w:sz w:val="28"/>
          <w:szCs w:val="28"/>
          <w:lang w:eastAsia="it-IT"/>
        </w:rPr>
        <w:t>2 e 10 milioni di euro</w:t>
      </w:r>
      <w:r w:rsidRPr="00382CC8">
        <w:rPr>
          <w:rFonts w:ascii="Baskerville Old Face" w:eastAsia="Times New Roman" w:hAnsi="Baskerville Old Face" w:cs="Lucida Sans Unicode"/>
          <w:sz w:val="28"/>
          <w:szCs w:val="28"/>
          <w:lang w:eastAsia="it-IT"/>
        </w:rPr>
        <w:t>; saranno finanziati indicativamente</w:t>
      </w:r>
      <w:r w:rsidRPr="00382CC8">
        <w:rPr>
          <w:rFonts w:ascii="Baskerville Old Face" w:eastAsia="Times New Roman" w:hAnsi="Baskerville Old Face" w:cs="Lucida Sans Unicode"/>
          <w:b/>
          <w:bCs/>
          <w:sz w:val="28"/>
          <w:szCs w:val="28"/>
          <w:lang w:eastAsia="it-IT"/>
        </w:rPr>
        <w:t> 38 progetti</w:t>
      </w:r>
    </w:p>
    <w:p w14:paraId="78395F0A"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Per il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LIFE-2021-SAP-ENV-GOV il budget complessivo del progetto deve essere compreso fra </w:t>
      </w:r>
      <w:r w:rsidRPr="00382CC8">
        <w:rPr>
          <w:rFonts w:ascii="Baskerville Old Face" w:eastAsia="Times New Roman" w:hAnsi="Baskerville Old Face" w:cs="Lucida Sans Unicode"/>
          <w:b/>
          <w:bCs/>
          <w:sz w:val="28"/>
          <w:szCs w:val="28"/>
          <w:lang w:eastAsia="it-IT"/>
        </w:rPr>
        <w:t>0,7 e 2 milioni di euro</w:t>
      </w:r>
      <w:r w:rsidRPr="00382CC8">
        <w:rPr>
          <w:rFonts w:ascii="Baskerville Old Face" w:eastAsia="Times New Roman" w:hAnsi="Baskerville Old Face" w:cs="Lucida Sans Unicode"/>
          <w:sz w:val="28"/>
          <w:szCs w:val="28"/>
          <w:lang w:eastAsia="it-IT"/>
        </w:rPr>
        <w:t>; saranno finanziati indicativamente </w:t>
      </w:r>
      <w:r w:rsidRPr="00382CC8">
        <w:rPr>
          <w:rFonts w:ascii="Baskerville Old Face" w:eastAsia="Times New Roman" w:hAnsi="Baskerville Old Face" w:cs="Lucida Sans Unicode"/>
          <w:b/>
          <w:bCs/>
          <w:sz w:val="28"/>
          <w:szCs w:val="28"/>
          <w:lang w:eastAsia="it-IT"/>
        </w:rPr>
        <w:t>6 progetti</w:t>
      </w:r>
    </w:p>
    <w:p w14:paraId="4C000575"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Modalità e procedura</w:t>
      </w:r>
    </w:p>
    <w:p w14:paraId="37DE390A"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 xml:space="preserve">Ciascun </w:t>
      </w:r>
      <w:proofErr w:type="spellStart"/>
      <w:r w:rsidRPr="00382CC8">
        <w:rPr>
          <w:rFonts w:ascii="Baskerville Old Face" w:eastAsia="Times New Roman" w:hAnsi="Baskerville Old Face" w:cs="Lucida Sans Unicode"/>
          <w:sz w:val="28"/>
          <w:szCs w:val="28"/>
          <w:lang w:eastAsia="it-IT"/>
        </w:rPr>
        <w:t>topic</w:t>
      </w:r>
      <w:proofErr w:type="spellEnd"/>
      <w:r w:rsidRPr="00382CC8">
        <w:rPr>
          <w:rFonts w:ascii="Baskerville Old Face" w:eastAsia="Times New Roman" w:hAnsi="Baskerville Old Face" w:cs="Lucida Sans Unicode"/>
          <w:sz w:val="28"/>
          <w:szCs w:val="28"/>
          <w:lang w:eastAsia="it-IT"/>
        </w:rPr>
        <w:t xml:space="preserve"> prevede documentazione specifica per la presentazione di una proposta progettuale.</w:t>
      </w:r>
    </w:p>
    <w:p w14:paraId="633EFECF"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Oltre alla documentazione ufficiale di riferimento CINEA ha organizzato dei </w:t>
      </w:r>
      <w:hyperlink r:id="rId10" w:history="1">
        <w:r w:rsidRPr="00382CC8">
          <w:rPr>
            <w:rFonts w:ascii="Baskerville Old Face" w:eastAsia="Times New Roman" w:hAnsi="Baskerville Old Face" w:cs="Lucida Sans Unicode"/>
            <w:sz w:val="28"/>
            <w:szCs w:val="28"/>
            <w:u w:val="single"/>
            <w:lang w:eastAsia="it-IT"/>
          </w:rPr>
          <w:t>webinar </w:t>
        </w:r>
      </w:hyperlink>
      <w:r w:rsidRPr="00382CC8">
        <w:rPr>
          <w:rFonts w:ascii="Baskerville Old Face" w:eastAsia="Times New Roman" w:hAnsi="Baskerville Old Face" w:cs="Lucida Sans Unicode"/>
          <w:sz w:val="28"/>
          <w:szCs w:val="28"/>
          <w:lang w:eastAsia="it-IT"/>
        </w:rPr>
        <w:t>(nei giorni </w:t>
      </w:r>
      <w:r w:rsidRPr="00382CC8">
        <w:rPr>
          <w:rFonts w:ascii="Baskerville Old Face" w:eastAsia="Times New Roman" w:hAnsi="Baskerville Old Face" w:cs="Lucida Sans Unicode"/>
          <w:b/>
          <w:bCs/>
          <w:sz w:val="28"/>
          <w:szCs w:val="28"/>
          <w:lang w:eastAsia="it-IT"/>
        </w:rPr>
        <w:t>18-20 maggio</w:t>
      </w:r>
      <w:r w:rsidRPr="00382CC8">
        <w:rPr>
          <w:rFonts w:ascii="Baskerville Old Face" w:eastAsia="Times New Roman" w:hAnsi="Baskerville Old Face" w:cs="Lucida Sans Unicode"/>
          <w:sz w:val="28"/>
          <w:szCs w:val="28"/>
          <w:lang w:eastAsia="it-IT"/>
        </w:rPr>
        <w:t xml:space="preserve">) e della documentazione di approfondimento dedicata ai potenziali proponenti per illustrare i contenuti del bando, disponibile sulla </w:t>
      </w:r>
      <w:r w:rsidRPr="00382CC8">
        <w:rPr>
          <w:rFonts w:ascii="Baskerville Old Face" w:eastAsia="Times New Roman" w:hAnsi="Baskerville Old Face" w:cs="Lucida Sans Unicode"/>
          <w:sz w:val="28"/>
          <w:szCs w:val="28"/>
          <w:lang w:eastAsia="it-IT"/>
        </w:rPr>
        <w:lastRenderedPageBreak/>
        <w:t>pagina web di riferimento (le registrazioni delle diverse sessioni dei webinar saranno disponibili dopo il 20 maggio).</w:t>
      </w:r>
    </w:p>
    <w:p w14:paraId="02C244A9" w14:textId="77777777" w:rsidR="00382CC8" w:rsidRPr="00382CC8" w:rsidRDefault="00382CC8" w:rsidP="00382CC8">
      <w:pPr>
        <w:shd w:val="clear" w:color="auto" w:fill="EFEFEF"/>
        <w:spacing w:before="180" w:after="60" w:line="240" w:lineRule="auto"/>
        <w:outlineLvl w:val="2"/>
        <w:rPr>
          <w:rFonts w:ascii="Baskerville Old Face" w:eastAsia="Times New Roman" w:hAnsi="Baskerville Old Face" w:cs="Times New Roman"/>
          <w:b/>
          <w:bCs/>
          <w:sz w:val="28"/>
          <w:szCs w:val="28"/>
          <w:lang w:eastAsia="it-IT"/>
        </w:rPr>
      </w:pPr>
      <w:r w:rsidRPr="00382CC8">
        <w:rPr>
          <w:rFonts w:ascii="Baskerville Old Face" w:eastAsia="Times New Roman" w:hAnsi="Baskerville Old Face" w:cs="Times New Roman"/>
          <w:b/>
          <w:bCs/>
          <w:sz w:val="28"/>
          <w:szCs w:val="28"/>
          <w:lang w:eastAsia="it-IT"/>
        </w:rPr>
        <w:t>Scadenza</w:t>
      </w:r>
    </w:p>
    <w:p w14:paraId="71D0CBBA" w14:textId="77777777" w:rsidR="00382CC8" w:rsidRPr="00382CC8" w:rsidRDefault="00382CC8" w:rsidP="00382CC8">
      <w:pPr>
        <w:shd w:val="clear" w:color="auto" w:fill="FFFFFF"/>
        <w:spacing w:after="180" w:line="360" w:lineRule="atLeast"/>
        <w:rPr>
          <w:rFonts w:ascii="Baskerville Old Face" w:eastAsia="Times New Roman" w:hAnsi="Baskerville Old Face" w:cs="Lucida Sans Unicode"/>
          <w:sz w:val="28"/>
          <w:szCs w:val="28"/>
          <w:lang w:eastAsia="it-IT"/>
        </w:rPr>
      </w:pPr>
      <w:r w:rsidRPr="00382CC8">
        <w:rPr>
          <w:rFonts w:ascii="Baskerville Old Face" w:eastAsia="Times New Roman" w:hAnsi="Baskerville Old Face" w:cs="Lucida Sans Unicode"/>
          <w:sz w:val="28"/>
          <w:szCs w:val="28"/>
          <w:lang w:eastAsia="it-IT"/>
        </w:rPr>
        <w:t>4 ottobre 2022, ore 17 (ora di Bruxelles)</w:t>
      </w:r>
    </w:p>
    <w:p w14:paraId="57C33856" w14:textId="77777777" w:rsidR="00161BA0" w:rsidRPr="00382CC8" w:rsidRDefault="00161BA0">
      <w:pPr>
        <w:rPr>
          <w:rFonts w:ascii="Baskerville Old Face" w:hAnsi="Baskerville Old Face"/>
          <w:sz w:val="28"/>
          <w:szCs w:val="28"/>
        </w:rPr>
      </w:pPr>
    </w:p>
    <w:sectPr w:rsidR="00161BA0" w:rsidRPr="00382C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C8"/>
    <w:rsid w:val="00161BA0"/>
    <w:rsid w:val="00382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3A0B"/>
  <w15:chartTrackingRefBased/>
  <w15:docId w15:val="{4C6144DD-CBD2-43F2-8B82-48F9110C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1418">
      <w:bodyDiv w:val="1"/>
      <w:marLeft w:val="0"/>
      <w:marRight w:val="0"/>
      <w:marTop w:val="0"/>
      <w:marBottom w:val="0"/>
      <w:divBdr>
        <w:top w:val="none" w:sz="0" w:space="0" w:color="auto"/>
        <w:left w:val="none" w:sz="0" w:space="0" w:color="auto"/>
        <w:bottom w:val="none" w:sz="0" w:space="0" w:color="auto"/>
        <w:right w:val="none" w:sz="0" w:space="0" w:color="auto"/>
      </w:divBdr>
    </w:div>
    <w:div w:id="954487112">
      <w:bodyDiv w:val="1"/>
      <w:marLeft w:val="0"/>
      <w:marRight w:val="0"/>
      <w:marTop w:val="0"/>
      <w:marBottom w:val="0"/>
      <w:divBdr>
        <w:top w:val="none" w:sz="0" w:space="0" w:color="auto"/>
        <w:left w:val="none" w:sz="0" w:space="0" w:color="auto"/>
        <w:bottom w:val="none" w:sz="0" w:space="0" w:color="auto"/>
        <w:right w:val="none" w:sz="0" w:space="0" w:color="auto"/>
      </w:divBdr>
    </w:div>
    <w:div w:id="11763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ea.ec.europa.eu/news-events/events/eulife22-info-days-2022-05-18_en" TargetMode="External"/><Relationship Id="rId3" Type="http://schemas.openxmlformats.org/officeDocument/2006/relationships/webSettings" Target="webSettings.xml"/><Relationship Id="rId7" Type="http://schemas.openxmlformats.org/officeDocument/2006/relationships/hyperlink" Target="https://ec.europa.eu/info/funding-tenders/opportunities/docs/2021-2027/life/guidance/list-3rd-country-participation_life_e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info/funding-tenders/opportunities/docs/2021-2027/life/wp-call/2021-2024/call-fiche_life-2022-cet_en.pdf" TargetMode="External"/><Relationship Id="rId11" Type="http://schemas.openxmlformats.org/officeDocument/2006/relationships/fontTable" Target="fontTable.xml"/><Relationship Id="rId5" Type="http://schemas.openxmlformats.org/officeDocument/2006/relationships/hyperlink" Target="https://cinea.ec.europa.eu/news-events/events/eulife22-info-days-2022-05-18_en" TargetMode="External"/><Relationship Id="rId10" Type="http://schemas.openxmlformats.org/officeDocument/2006/relationships/hyperlink" Target="https://cinea.ec.europa.eu/news-events/events/eulife22-info-days-2022-05-18_en" TargetMode="External"/><Relationship Id="rId4" Type="http://schemas.openxmlformats.org/officeDocument/2006/relationships/hyperlink" Target="https://ec.europa.eu/info/funding-tenders/opportunities/docs/2021-2027/life/guidance/list-3rd-country-participation_life_en.pdf" TargetMode="External"/><Relationship Id="rId9" Type="http://schemas.openxmlformats.org/officeDocument/2006/relationships/hyperlink" Target="https://ec.europa.eu/info/funding-tenders/opportunities/docs/2021-2027/life/guidance/list-3rd-country-participation_life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3771</Words>
  <Characters>21496</Characters>
  <Application>Microsoft Office Word</Application>
  <DocSecurity>0</DocSecurity>
  <Lines>179</Lines>
  <Paragraphs>50</Paragraphs>
  <ScaleCrop>false</ScaleCrop>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ciompi</dc:creator>
  <cp:keywords/>
  <dc:description/>
  <cp:lastModifiedBy>roberto ciompi</cp:lastModifiedBy>
  <cp:revision>1</cp:revision>
  <dcterms:created xsi:type="dcterms:W3CDTF">2022-06-07T08:27:00Z</dcterms:created>
  <dcterms:modified xsi:type="dcterms:W3CDTF">2022-06-07T08:30:00Z</dcterms:modified>
</cp:coreProperties>
</file>